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960 vom 18. September 2014</w:t>
      </w:r>
    </w:p>
    <w:p>
      <w:r>
        <w:t>VD Tribunal cantonal, 2014-09-18, FR</w:t>
      </w:r>
    </w:p>
    <w:p>
      <w:r>
        <w:rPr>
          <w:b/>
        </w:rPr>
        <w:t xml:space="preserve">Quelle: </w:t>
      </w:r>
      <w:r>
        <w:t>https://mcp.opencaselaw.ch/entscheid/vd_findinfo_HC___2014___960</w:t>
      </w:r>
    </w:p>
    <w:p>
      <w:r>
        <w:t>FR: VD_FINDINFO HC / 2014 / 960 du 18 septembre 2014</w:t>
      </w:r>
    </w:p>
    <w:p>
      <w:r>
        <w:t>IT: VD_FINDINFO HC / 2014 / 960 del 18 settembre 2014</w:t>
      </w:r>
    </w:p>
    <w:p>
      <w:pPr>
        <w:pStyle w:val="Heading2"/>
      </w:pPr>
      <w:r>
        <w:t>Regeste</w:t>
      </w:r>
    </w:p>
    <w:p>
      <w:r>
        <w:t>RESPONSABILITÉ POUR LES AUXILIAIRES{CONTRACTUELLE}, RESPONSABILITÉ DE L'EMPLOYEUR{RAPPORT OBLIGATIONNEL} | 55 CO</w:t>
      </w:r>
    </w:p>
    <w:p>
      <w:pPr>
        <w:pStyle w:val="Heading2"/>
      </w:pPr>
      <w:r>
        <w:t>Erwägungen</w:t>
      </w:r>
    </w:p>
    <w:p>
      <w:r>
        <w:rPr>
          <w:b/>
        </w:rPr>
        <w:t>E. 1</w:t>
      </w:r>
    </w:p>
    <w:p>
      <w:r>
        <w:t>Le recours de l’art. 319 let. a CPC (Code de procédure civile du 19 décembre 2008; RS 272) est ouvert notamment contre les décisions finales de première instance qui ne peuvent pas faire l’objet d’un appel. Tel est Ie cas en l’espèce, s’agissant d’une décision finale rendue dans une cause patrimoniale dont la valeur litigieuse est inférieure à 10’000 fr. (art. 308 al. 2 CPC). 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Interjeté en temps utile par une partie qui y a un intérêt et dûment motivé, le recours est recevable.</w:t>
      </w:r>
    </w:p>
    <w:p>
      <w:r>
        <w:rPr>
          <w:b/>
        </w:rPr>
        <w:t>E. 2</w:t>
      </w:r>
    </w:p>
    <w:p>
      <w:r>
        <w:t>Le recours est recevable pour violation du droit et constatation manifestement inexacte des faits.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Il, 2 ème éd., Berne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invoque une constatation inexacte des faits, en ce sens que contrairement à ce qui a été retenu par les premiers juges, elle aurait proposé ses services le 1 er mars 2011. b) En l’espèce, les premiers juges ont retenu les déclarations de la recourante elle-même, indiquant qu’elle avait bu un café au bar ce jour-là et qu’après avoir discuté avec le personnel de l’étage, elle était partie, compte tenu de la présence d’J.________. Celui-ci a également confirmé qu’elle n’avait jamais offert ses services. Aucun élément au dossier ne permet de retenir que la recourante a effectivement offert ses services le 1 er mars 2011 ou même à une date ultérieure. Par conséquent, il n’apparaît pas que les premiers juges aient fait preuve d’arbitraire en retenant que la recourante n’avait pas proposé ses services. Ce grief doit donc être rejeté.</w:t>
      </w:r>
    </w:p>
    <w:p>
      <w:r>
        <w:rPr>
          <w:b/>
        </w:rPr>
        <w:t>E. 4</w:t>
      </w:r>
    </w:p>
    <w:p>
      <w:r>
        <w:t>La recourante invoque que les premiers juges auraient dû faire application de l‘art. 55 CO (Code des obligations du 30 mars 1911 ; RS 220). a) 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Pour que la responsabilité de l’employeur soit engagée, il faut tout d’abord que les conditions générales de la responsabilité soient réunies, à savoir que la victime ait subi un préjudice, le terme « dommage » employé à l’art. 55 CO comprenant à la fois la diminution du patrimoine et le tort moral, un rapport de causalité entre le préjudice et l’acte illicite de l’auxiliaire, d’une part, et le défaut de diligence de l’employeur, d’autre part, le second rapport de causalité étant présumé ainsi qu’un acte illicite. L’application de l’art. 55 CO suppose également l’existence d’un certain nombre de conditions spécifiques : il faut ainsi un employeur et un auxiliaire, un acte illicite de l’auxiliaire dans l’accomplissement de son travail et l’absence de preuves libératoires (Werro, Commentaire romand CO I, Bâle 2003, nn. 5 et 6 ad art. 55 CO). L’art. 55 CO institue une responsabilité objective simple, qui sanctionne la violation d’un devoir de diligence, apprécié objectivement, indépendamment de la personne de l’employeur (Werro, op. cit., n. 1 ad art. 55 CO). L’employeur est toute personne physique ou morale qui, dans ses affaires professionnelles ou domestiques, charge un subordonné, appelé auxiliaire, d’accomplir une tâche. Le critère essentiel est celui de l’existence, entre ces deux personnes, d’un rapport de subordination personnelle qu’il revient à la victime de prouver (Werro, op. cit., n. 7 ad art. 55 CO). ll faut une relation directe et fonctionnelle entre l’activité pour laquelle l’employeur a eu recours à l’auxiliaire et l’acte dommageable. Ce lien manque en particulier quand l’acte illicite a eu lieu non pas dans l’accomplissement du travail, mais à l’occasion de celui-ci seulement. La responsabilité de l’employeur n’est pas d’emblée exclue si l’auxiliaire prend l’initiative d’une mesure ou élargit de son propre chef son activité, aussi longtemps qu’il existe une corrélation avec son travail; cela vaut en particulier si l’employeur n’intervient pas alors qu’il a conscience de cette activité de son auxiliaire (TF 4A.326/2006 et 4A.406/2008 du 16 décembre 2008 c. 5.1 et les références citées). La responsabilité de l’employeur pour le dommage causé par son auxiliaire est causale, c’est-à-dire que l’employeur répond du dommage même s’il n’y a pas eu faute de sa part ou de celle de l’auxiliaire. Selon la règle générale de la causalité, il ne répond pas du dommage lorsqu’une autre cause a joué un rôle primaire et seul décisif dans la survenance de celui-ci (TF 4A.326/2008 et 4A.406/2008 du 16 décembre 2008 précité c. 5.2 et les références citées). Il dispose toutefois de moyens libératoires en prouvant qu’il n’a commis aucune faute personnelle dans la mise à disposition d’instruments et de matériaux appropriés, l’organisation, la direction et le contrôle de son entreprise, ni dans le choix de ses collaborateurs ( cura in eligendo ), les instructions données ( cura in custodiendo ) ou la surveillance de leur activité ( cura in instruendo ). Les exigences posées par le Tribunal fédéral pour la preuve libératoire sont élevées et, plus le travail de l’auxiliaire est dangereux, plus la diligence requise de remployeur est élevée, même si l’on ne peut pas exiger l’impossible (TF 4A.326/2008 et 4A.406/2008 du 16 décembre 2008 précité c. 5.2 et 5.3 et les références citées; ATF 90 lI 86 c. 3, JT 1964 I 560; Werro, op. cit., nn. 17 ss ad art. 55 CO; Engel, Traité des obligations en droit suisse, Berne 1997, pp. 739 ss). b) En l’espèce, les conditions de la responsabilité aquilienne de l’intimée ne sont pas remplies. La recourante n’expose pas et a fortiori ne démontre pas en quoi ces conditions seraient remplies. Au demeurant, s’agissant des conditions spécifiques supplémentaires de l’art. 55 CO, elles ne sont pas non plus réalisées, et la recourante n’expose pas non plus en quoi elles le seraient. En effet, le prétendu acte illicite de R.________ n’a pas eu lieu dans l’accomplissement du travail, mais uniquement à l’occasion de celui-ci, dans la mesure où il n’y a aucune relation directe et fonctionnelle entre l’activité pour laquelle l’employeur a eu recours à R.________ et le prétendu acte dommageable. Dans le cas d’espèce, le témoin a peut-être pris l’initiative d’une mesure ou a élargi de son propre chef son activité, soit l’engagement de personnel, sans toutefois que cette initiative n’entre dans le cahier des charges de son travail. Ce grief est donc également mal fondé.</w:t>
      </w:r>
    </w:p>
    <w:p>
      <w:r>
        <w:rPr>
          <w:b/>
        </w:rPr>
        <w:t>E. 5</w:t>
      </w:r>
    </w:p>
    <w:p>
      <w:r>
        <w:t>En conclusion, le recours doit être rejeté et le jugement confirmé. Le litige portant sur un contrat de travail, il n’est pas perçu de frais judiciaires de deuxième instance (art. 114 let. c CPC). L’intimée n’ayant pas été invitée à se déterminer, il n’y a pas lieu de lui allouer des dépens. Par ces motifs, la Chambre des recours civile du Tribunal cantonal, statuant à huis clos, en application de l'art. 322 al. 1 CPC, prononce : I. Le recours est rejeté. II. Le jugement est confirmé. III. Il n’est pas perçu de frais judiciaires de deuxième instance. IV. L’arrêt motivé est exécutoire. Le président :               La greffière : Du 19 septembre 2014 Le dispositif de l'arrêt qui précède est communiqué par écrit aux intéressés. La greffière : Du L'arrêt qui précède, dont la rédaction a été approuvée à huis clos, est notifié en expédition complète, par l'envoi de photocopies, à : ‑ Me François Pidoux (pour D.________), ‑ Me Laurent Maire (pour T.________SA).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