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 vom 28. Januar 2014</w:t>
      </w:r>
    </w:p>
    <w:p>
      <w:r>
        <w:t>VD Tribunal cantonal, 2014-01-28, FR</w:t>
      </w:r>
    </w:p>
    <w:p>
      <w:r>
        <w:rPr>
          <w:b/>
        </w:rPr>
        <w:t xml:space="preserve">Quelle: </w:t>
      </w:r>
      <w:r>
        <w:t>https://mcp.opencaselaw.ch/entscheid/vd_findinfo_HC___2014___96</w:t>
      </w:r>
    </w:p>
    <w:p>
      <w:r>
        <w:t>FR: VD_FINDINFO HC / 2014 / 96 du 28 janvier 2014</w:t>
      </w:r>
    </w:p>
    <w:p>
      <w:r>
        <w:t>IT: VD_FINDINFO HC / 2014 / 96 del 28 gennaio 2014</w:t>
      </w:r>
    </w:p>
    <w:p>
      <w:pPr>
        <w:pStyle w:val="Heading2"/>
      </w:pPr>
      <w:r>
        <w:t>Regeste</w:t>
      </w:r>
    </w:p>
    <w:p>
      <w:r>
        <w:t>NOUVEAU MOYEN DE PREUVE, ACTION EN LIBÉRATION DE DETTE, VICE DU CONSENTEMENT, CAUTIONNEMENT, REPRISE CUMULATIVE DE DETTE, PRINCIPE DE LA CONFIANCE{INTERPRÉTATION DU CONTRAT}, SOLIDARITÉ PASSIVE, POURSUITE PAR VOIE DE FAILLITE, INTÉRÊT{FRUIT CIVIL} | 143 al. 1 CO, 18 al. 1 CO, 23 CO, 313 CO, 492 CO, 83 al. 2 LP, 81 LEAE, 317 al. 1 CPC (CH)</w:t>
      </w:r>
    </w:p>
    <w:p>
      <w:pPr>
        <w:pStyle w:val="Heading2"/>
      </w:pPr>
      <w:r>
        <w:t>Erwägungen</w:t>
      </w:r>
    </w:p>
    <w:p>
      <w:r>
        <w:rPr>
          <w:b/>
        </w:rPr>
        <w:t>E. 1</w:t>
      </w:r>
    </w:p>
    <w:p>
      <w:r>
        <w:t>L’art. 308 al. 1 let. a ouvre la voie de l’appel contre les décisions finales de première instance, dans la mesure où, pour les affaires patrimoniales, la valeur litigieuse de première instance est de 10'000 fr. au moins (art. 308 al. 2 CPC). Interjeté en temps utile par une personne qui y a intérêt dans un litige dont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Selon 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 pièce produite par l’appelant est postérieure à l’audience de plaidoiries finales de première instance. Elle est en conséquence recevable.</w:t>
      </w:r>
    </w:p>
    <w:p>
      <w:r>
        <w:rPr>
          <w:b/>
        </w:rPr>
        <w:t>E. 3</w:t>
      </w:r>
    </w:p>
    <w:p>
      <w:r>
        <w:t>L’appelant soutient que les documents intitulés « reconnaissance de dette » constituent en réalité des cautionnements, de sorte que les engagements seraient nuls en raison de l’inexistence de la dette cautionnée et du non-respect de la forme légale.</w:t>
      </w:r>
    </w:p>
    <w:p>
      <w:r>
        <w:rPr>
          <w:b/>
        </w:rPr>
        <w:t>E. 3.1.1</w:t>
      </w:r>
    </w:p>
    <w:p>
      <w:r>
        <w:t>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 ATF 128 III 44 c. 4a, JT 2001 II 71). Elle est le pendant de l'action en reconnaissance de dette de l'art. 79 LP. Elle a pour objet la constatation de l'inexistence ou de l'inexigibilité de la créance déduite en poursuite au moment de la réquisition de poursuite (ATF 124 III 207 c. 3a, JT 1999 II 55 ; ATF 118 III 40 c. 5a, JT 1994 II 112). Elle est limitée à la créance qui fait l'objet de la poursuite (ATF 124 III 207 précité c. 3b/bb).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Quant au poursuivi, il devra se défendre en démontrant qu'il ne doit pas les sommes qu'on lui réclame, en établissant notamment la non-existence ou le défaut d'exigibilité de la dette constatée par le titre. Le fait que le débiteur ait matériellement une position de défendeur dans l'action en libération de dette trouve en définitive son origine dans le mécanisme de la mainlevée (ATF 131 III 268 c. 3.1 ; ATF 130 III 285 c. 5.3.1 ; ATF 116 II 131 c. 2, JT 1992 II 63; Gilliéron, Commentaire de la loi fédérale sur la poursuite pour dettes et la faillite, Articles 1-88, 1999, n. 55 ad art. 83 LP, p. 1303). Les parties ne sont pas limitées aux moyens invoqués dans la procédure de mainlevée (Gilliéron, op. cit., nn. 55 et 78 ad art. 83 LP, pp. 1303 et 1310). Le créancier, défendeur à l’action en libération de dette, bénéficie néanmoins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Tevini, Commentaire romand, 2 e éd., 2012, n. 1 ad art. 17 CO, p. 128). Elle peut être causale, lorsque la cause de l’obligation est mentionnée expressément dans la reconnaissance de dette ou qu’elle ressort manifestement des circonstances. Elle sera abstraite lorsqu’elle n’énonce pas la cause de l’obligation (TF 4C_30/2006 du 18 mai 2006 c. 3.2). Dans les deux cas, la reconnaissance de dette est valable (art. 17 CO). La cause sous-jacente doit cependant exister et être valable (ATF 105 II 183 c. 4a; Tevini, op. cit., n. 2 ad art. 17 CO, p. 128 ; Engel, Traité des obligations en droit suisse, 2 e éd., 1997, p. 157). En effet, en droit suisse, la reconnaissance de dette, même abstraite, a pour objet une obligation causale (ATF 105 II 183 c. 4a), l’art. 17 CO (Code des obligations du 30 mars 1911 ; RS 220) n’ayant pas d’incidence sur l’existence matérielle de l’obligation du débiteur (ATF 131 III 268 c. 3.2). L'effet d'une reconnaissance de dette est celui de renverser le fardeau de la preuve. Ainsi, le créancier – formellement défendeur – et détenteur d’une reconnaissance de dette n’a pas à prouver la cause de sa créance, ni la réalisation d’autres conditions que celles qui sont indiquées dans l’acte de reconnaissance.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 ATF 96 II 383 c. 3a, JT 1972 I 150). Le débiteur peut également se prévaloir de toutes les objections et exceptions – exécution, remise de dette, exception de l’inexécution, prescription, etc. – qui sont dirigées contre la dette reconnue (ATF 131 III 268 c. 3.2).</w:t>
      </w:r>
    </w:p>
    <w:p>
      <w:r>
        <w:rPr>
          <w:b/>
        </w:rPr>
        <w:t>E. 3.1.2</w:t>
      </w:r>
    </w:p>
    <w:p>
      <w:r>
        <w:t>Aux termes de l'art. 492 al. 1 CO, le cautionnement est un contrat par lequel une personne s'engage envers le créancier à garantir le paiement de la dette contractée par le débiteur. L'objet du cautionnement porte sur la garantie d'une créance principale. Le cautionnement se caractérise ainsi par sa nature accessoire: l'obligation de la caution dépend de l'existence et du contenu de la dette principale, laquelle doit être déterminée ou, en tout cas, déterminable dès la conclusion du contrat. Dire quelle est la créance garantie est une question d'interprétation du contrat (ATF 120 II 35 c. 3a et les références; voir aussi: Tercier/Favre/Eigenmann, Les contrats spéciaux, 4 e éd., 2009, n os 6797ss, pp. 1028-1029). En cas de reprise cumulative de dette, le reprenant crée un engagement propre et indépendant; il reprend ainsi personnellement et directement la dette d’un tiers (ATF 129 III 702, JT 2004 I 535). Le cautionnement comme la reprise cumulative de dette renforcent la position du créancier et reposent souvent dans cette mesure sur des considérations économiques identiques. Cependant, elles diffèrent notamment quant aux conditions de forme. La distinction entre le cautionnement, de caractère accessoire, et la reprise cumulative de dette, engagement de nature indépendante, repose sur l’indice suivant : à l’inverse de la caution, le reprenant a d’ordinaire à un intérêt propre et reconnaissable à l’affaire conclue entre le débiteur principal et le créancier, et pas seulement un intérêt à garantir le paiement de la dette primitive.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(ATF 129 III 702 précité).</w:t>
      </w:r>
    </w:p>
    <w:p>
      <w:r>
        <w:rPr>
          <w:b/>
        </w:rPr>
        <w:t>E. 3.1.3</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JT 2008 I 508).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celles-ci sont à interpréter en défaveur de celui qui les a rédigées, en vertu de la règle in dubio contra stipulatorem (ATF 133 III 61 c. 2.2.2.3; ATF 122 III 118 c. 2a, JT 1997 I 805).</w:t>
      </w:r>
    </w:p>
    <w:p>
      <w:r>
        <w:rPr>
          <w:b/>
        </w:rPr>
        <w:t>E. 3.2</w:t>
      </w:r>
    </w:p>
    <w:p>
      <w:r>
        <w:t>Les conventions signées entre les parties les 30 mai 1985 et 15 janvier 1986 sont intitulées « reconnaissance de dette ». Aucun des textes, élaborés par deux avocats, n’indique qu’il s’agirait d’un cautionnement. Or, si telle avait été l’intention des parties, il est clair que les mandataires l’auraient expressément mentionné dans le titre de l’acte ou à tout le moins dans son texte et auraient évidemment respecté les règles de forme relatives à un tel acte. Par ailleurs, il résulte des textes des reconnaissances de dette que l’appelant paiera, dans un certain délai, un premier montant de 30'000 fr., ce qui ne correspond pas aux conditions régissant un cautionnement. En effet, au moment où elle cautionne, la caution prend un engagement incertain, qui dépendra du remboursement ou non de la dette par le débiteur principal, ce qui n’est pas le cas en l’occurrence. De plus, l’appelant a déclaré, en première instance, qu’il avait signé ces conventions pour montrer qu’il soutenait la société M.________ SA. En effet, c’est lui qui la dirigeait et il a, par ce biais là, voulu éviter qu’elle ne tombe en faillite. Il avait ainsi un intérêt propre et personnel à reprendre la dette.</w:t>
      </w:r>
    </w:p>
    <w:p>
      <w:r>
        <w:rPr>
          <w:b/>
        </w:rPr>
        <w:t>E. 4</w:t>
      </w:r>
    </w:p>
    <w:p>
      <w:r>
        <w:t>L’appelant soutient que la créance de B.L.________ n’existait pas, les fonds ayant été prêtés par C.________ Sàrl à M.________ SA et aucun élément ne permettant de retenir que les créances de C.________ Sàrl auraient été cédées à B.L.________. Il invoque également l’erreur au moment de la signature des reconnaissances de dette, croyant que B.L.________ était le titulaire des créances invoquées.</w:t>
      </w:r>
    </w:p>
    <w:p>
      <w:r>
        <w:rPr>
          <w:b/>
        </w:rPr>
        <w:t>E. 4.1</w:t>
      </w:r>
    </w:p>
    <w:p>
      <w:r>
        <w:t>Selon l'art. 23 CO, le contrat n'oblige pas celle des parties qui, au moment de conclure, était dans une erreur essentielle. Celle-ci se rencontre notamment en cas d'erreur dite de base telle que définie à l'art. 24 al. 1 ch. 4 CO, soit une erreur portant sur des faits que la loyauté commerciale permettait à celui qui s'en prévaut de considérer comme des éléments nécessaires du contrat (cf. ATF 132 II 161 c. 4.1 ; ATF 123 III 200 c. 2, JT 1999 I 5 ; ATF 118 II 58 c. 3b; ATF 114 II 131 c. 2, JT 1988 I 508). D'un point de vue subjectif, celui qui se prévaut de son erreur doit s'être trompé sur un fait déterminé touchant, pour lui, à la base nécessaire du contrat ; ce fait doit avoir exercé une influence décisive sur la volonté de conclure du déclarant qui, sans cette circonstance, n'aurait pas passé le contrat ou, en tout cas, pas à ces conditions (Schmidlin, Commentaire romand, 2 e éd., 2012, n. 40 ad art. 23-24 CO, p. 230; Gauch/Schluep/Schmid/Emmenegger, Schweizerisches Obligationenrecht,</w:t>
      </w:r>
    </w:p>
    <w:p>
      <w:r>
        <w:rPr>
          <w:b/>
        </w:rPr>
        <w:t>E. 4.2</w:t>
      </w:r>
    </w:p>
    <w:p>
      <w:r>
        <w:t>En l’espèce, le contrat du 30 juin 1981 portant sur le prêt de 250'000 fr., a été conclu entre M.________ SA et B.L.________ personnellement (cf. pièce n° 7). Par ailleurs, il résulte de divers éléments du dossier que l’appelant a toujours considéré B.L.________ comme étant le créancier du montant litigieux. Ainsi, ensuite des difficultés rencontrées par M.________ SA, l’appelant a bel et bien formulé une proposition directement à B.L.________, et non pas à l’attention de la société de ce dernier, à savoir C.________ Sàrl. Par la suite, dans les deux reconnaissances de dette des 30 mai 1985 et 15 janvier 1986, l’appelant a reconnu devoir à B.L.________ la somme de 465'000 fr. et a ainsi clairement admis que le prénommé était son créancier. Au surplus, l’appelant a toujours su que B.L.________ était le propriétaire et représentant de la société C.________ Sàrl, ce qui lui a encore été confirmé dans un courrier que lui adressé le 9 avril 1985, Me T.________, alors conseil de B.L.________. En effet, à cette époque, la société C.________ Sàrl était détenue par B.L.________ pour 49'000 fr. et par G.________ pour 1'000 fr. Ce dernier a cependant expliqué détenir cette part sociale à titre fiduciaire pour B.L.________. Ainsi, dès lors que ce dernier pouvait agir comme représentant de sa société, aucune cession de créance n’était nécessaire entre la société et son administrateur (cf. art. 55 CC et art. 814 CO). 5. Se prévalant du Concordat intercantonal réprimant les abus en matière d’intérêt conventionnel, l’appelant conteste les intérêts dus. 5.1 Aux termes de l'art. 313 al. 1 CO, le prêteur peut réclamer des intérêts, en matière civile, que s'ils ont été stipulés. L'alinéa 2 de cette disposition prévoit qu'en matière de commerce, il en est dû même sans convention. Le droit public cantonal peut, conformément à l'art. 73 al. 2 CO, fixer des limites quant au taux d'intérêt appliqué en matière conventionnelle. Dans le canton de Vaud, le concordat intercantonal réprimant les abus en matière d'intérêt conventionnel du 8 octobre 1957 était applicable jusqu'à l'entrée en vigueur de la LEAE (loi vaudoise du 31 mai 2005 sur l'exercice des activités économiques, RSV 930.01) le 1er janvier 2006. L'art. 1 du concordat dispose que les personnes physiques ou morales qui, sur le territoire des cantons signataires du présent concordat, prêtent de l'argent ou procurent des crédits sous quelque forme que ce soit, ne peuvent en aucun cas exiger une prestation totale supérieure à 1,5% de la somme réellement due au début de chaque mois, compte tenu des remboursements éventuels (soit 1% au maximum à titre d'intérêt, de provision, de commission et d'émolument et 0,5% au maximum pour frais et débours justifiés). Cette réglementation a été reprise, dans une teneur identique, à l'art. 81 LEAE. La stipulation d'intérêts n'étant pas une clause essentielle du contrat, sa nullité n'emporte pas celle du prêt, à moins qu'il y ait lieu d'admettre que le contrat n'aurait pas été conclu sans elle (cf. art. 20 al. 2 CO et 82 al. 2 LEAE; Tercier/Favre/Bugnon, op. cit., n° 3051, p. 446). Selon la jurisprudence rendue sous l'empire du concordat intercantonal, une clause contractuelle prévoyant un taux d'intérêt excessif entraînait ainsi simplement une nullité partielle, le taux excessif étant ramené à la portion licite (ATF 96 I 4 c. 3a). L'art. 82 al. 1 LEAE dispose désormais que toute clause contrevenant à l'art. 81 LEAE est nulle et de nul effet, quel que soit le droit privé qui lui est applicable. La loi ne contient aucune disposition transitoire à ce sujet, mais la jurisprudence cantonale a admis qu'une telle clause continuait de n'être frappée que de nullité partielle selon l'art. 20 al. 2 CO, l'intérêt étant ramené au taux maximal prévu par la LEAE (CCIV 13 juillet 2007/120). 5.2 En l’espèce, compte tenu du renversement du fardeau de la preuve lié à la reconnaissance de dette (cf. supra ch. 3.1.1), il incombait à l’appelant d’établir que les intérêts reconnus étaient contraires aux règles du Concordat, respectivement de l’art. 83 LEAE, en particulier que l’intimée ne pourrait invoquer des frais. Aucune preuve n’ayant été offerte, a fortiori apportée sur ce point, on doit retenir que le taux maximal qui peut être admis est de 1,5 % par mois, soit 18 % par an. L’intérêt maximal autorisé était donc de 106'312 fr. 50 sur le montant de 202'500 fr. (202'500 x 18 % x 35 : 12) et de 46'800 sur le montant de 120'000 fr. (120'000 x 18% x 26 : 12), soit un total de 153'112 fr. 50, supérieur au montant de 143'000 fr. incorporé dans la reconnaissance de dette. 6. L’appelant fait valoir que ni B.L.________ ni C.________ Sàrl n’ont produit leur créance dans la faillite de M.________ SA. Il en déduit que la dette litigieuse était en conséquence éteinte en application de l’art. 147 al. 1 CO. L’article 216 LP permet au créancier de produire l’entier de sa créance dans chacune des faillites des débiteurs engagés pour la même dette, lorsque ceux-ci sont simultanément en faillite, mais ne l’oblige pas à le faire. S’il omet de produire dans les deux faillites, les conséquences juridiques sont à rechercher dans le droit civil (Jeanneret, Commentaire romand, 2005, n. 18 ad art. 216 LP, p. 959 ; Stäubli, Basler Kommentar, 2010, n. 17 ad art. 216 LP, p. 1898). Or la reprise cumulative de dette découle de la réglementation sur la solidarité des art. 143 ss CO (ATF 129 III 702 c. 2.1, JT 2004 I 535), partant, laisse le choix au créancier, en application de l’art. 144 CO, d’exiger de tous les débiteurs solidaires ou de l’un d’eux l’exécution intégrale ou partielle de l’obligation, celle d’un des débiteurs solidaires libérant les autres jusqu’à concurrence de la portion éteinte de l’obligation en vertu de l’art. 147 al. 1 CO. L’appelant ne peut ainsi rien tirer du fait que la créance litigieuse n’ait pas été produite dans la faillite de M.________ SA, cette absence de production n’ayant pas éteint en tout ou partie la dette litigieuse. 7. L’appelant invoque le défaut de titularité de l’intimée sur la créance litigieuse. Cette critique est vaine. En effet, selon les pièces du dossier (cf. pièces n° 113 à 118), l’intimée est la veuve de feu B.L.________, décédé le [...] 2007, et son héritière avec ses [...] enfants. Par convention du 20 octobre 2008, ces derniers ont cédé à leur mère l’intégralité de leurs droits sur la créance résultant de l’acte de défaut de biens du 8 février 1988. Enfin, depuis le 2 avril 2009, l’intimée est inscrite au RC en qualité d’associée gérante présidente de la société C.________ Sàrl. 8. En conclusion, l’appel doit être rejeté en application de l’art. 312 al. 1 CPC et le jugement confirmé. Vu le rejet de l’appel, les frais judiciaires de deuxième instance, arrêtés à 5'825 fr. (art. 62 al. 1 TFJC [tarif du 28 septembre 2010 des frais judiciaires civils ; RSV 270.11.5]), doivent être mis à la charge de l’appelant (art. 106 al. 1 CPC).</w:t>
      </w:r>
    </w:p>
    <w:p>
      <w:r>
        <w:rPr>
          <w:b/>
        </w:rPr>
        <w:t>E. 9</w:t>
      </w:r>
    </w:p>
    <w:p>
      <w:r>
        <w:t>e éd., tome I, n° 779, p. 164; Engel, op. cit., pp. 328-329). Selon la jurisprudence, un cocontractant ne peut invoquer un fait déterminé comme condition sine qua non du contrat lorsqu'il ne s'est pas préoccupé, au moment de conclure, d'éclaircir une question qui se posait manifestement en rapport avec ce fait (ATF 129 III 363 c. 5.3, JT 2004 II 16; ATF 117 II 218 c. 3b, JT 1994 I 167). D'un point de vue objectif, l'erreur ne sera essentielle que si elle porte sur des faits qui, selon le principe de la bonne foi en affaires, peuvent être considérés comme la base nécessaire du contrat (ATF 118 II 58 c. 3b; Gauch/ Schluep/Schmid/Emmenegger, op. cit., n. 783, p. 165; Engel, op. cit., p. 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