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952 vom 5. Dezember 2014</w:t>
      </w:r>
    </w:p>
    <w:p>
      <w:r>
        <w:t>VD Tribunal cantonal, 2014-12-05, FR</w:t>
      </w:r>
    </w:p>
    <w:p>
      <w:r>
        <w:rPr>
          <w:b/>
        </w:rPr>
        <w:t xml:space="preserve">Quelle: </w:t>
      </w:r>
      <w:r>
        <w:t>https://mcp.opencaselaw.ch/entscheid/vd_findinfo_HC___2014___952</w:t>
      </w:r>
    </w:p>
    <w:p>
      <w:r>
        <w:t>FR: VD_FINDINFO HC / 2014 / 952 du 5 décembre 2014</w:t>
      </w:r>
    </w:p>
    <w:p>
      <w:r>
        <w:t>IT: VD_FINDINFO HC / 2014 / 952 del 5 dicembre 2014</w:t>
      </w:r>
    </w:p>
    <w:p>
      <w:pPr>
        <w:pStyle w:val="Heading2"/>
      </w:pPr>
      <w:r>
        <w:t>Regeste</w:t>
      </w:r>
    </w:p>
    <w:p>
      <w:r>
        <w:t>MESURE PROVISIONNELLE, OBLIGATION D'ENTRETIEN, CONJOINT, AVANCE DE FRAIS | 176 al. 1 ch. 1 CC, 176 CC</w:t>
      </w:r>
    </w:p>
    <w:p>
      <w:pPr>
        <w:pStyle w:val="Heading2"/>
      </w:pPr>
      <w:r>
        <w:t>Erwägungen</w:t>
      </w:r>
    </w:p>
    <w:p>
      <w:r>
        <w:rPr>
          <w:b/>
        </w:rPr>
        <w:t>E. 1</w:t>
      </w:r>
    </w:p>
    <w:p>
      <w:r>
        <w:t>a) L'art. 308 al. 1 let. b CPC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w:t>
      </w:r>
    </w:p>
    <w:p>
      <w:r>
        <w:t>a) L’appelant soutient d’abord qu’il est autorisé à requérir des pièces nouvelles (conclusions préalables 2 à 6), car ces réquisitions ne feraient que préciser la conclusion 7 prise dans sa requête de mesures provisionnelles. Ainsi, l’intimée ne se serait pas conformée à l’ordonnance du premier juge lui intimant de produire l’état de ses revenus, en particulier s’agissant des indemnités journalières perçues de [...] et du montant du loyer qu’elle pourrait tirer de sa maison dans le Var. Il en irait de même de l’existence d’un compte à la [...], de l’état actuel du compte auprès de [...] et de la provenance de versements sur son compte et de «prêts » de son concubin. En outre, la conclusion préalable 7 correspondrait à la réquisition 8 de sa requête de mesures provisionnelles et c’est à tort que le premier juge n’aurait pas réagi au refus injustifié de X.________ de produire le document.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(HohI, Procédure civile, Tome lI, 2 e éd., 2010, n° 2414, p. 438). Des novas peuvent par ailleurs être en principe librement introduits en appel dans les causes régies par la maxime d’office, par exemple sur la situation des enfants mineurs en droit matrimonial (JT 2010 I 139), à tout le moins lorsque le juge de première instance a violé la maxime inquisitoire illimitée (HohI, op. cit., n°2415, p. 438; JT 2011 I 43). Il n’est cependant pas insoutenable d’appliquer strictement l’art. 317 CPC dans tous les litiges auxquels s’applique la maxime inquisitoire, même concernant des contributions envers les enfants (TF 5A_342/2013 du 27 septembre 2013 c. 4.1.2). c) En l’espèce, ni la maxime d’office ni la maxime inquisitoire ne sont applicables, la contribution d’entretien sollicitée ne concernant pas un enfant mineur. Contrairement à ce que soutient l’appelant, les réquisitions de pièces qu’il formule en deuxième instance ne constituent nullement de simples précisions de ses conclusions de première instance, soit de la conclusion 7 de la requête de première instance. En effet, le premier juge a donné suite à cette réquisition par lettre du 27 août 2014 et l’intimée a produit des pièces par bordereaux des 10 et 14 octobre 2014. Si l’appelant estimait que les pièces produites n’étaient pas suffisantes, il lui appartenait, dans le cadre de la maxime des débats, de les requérir à l’audience de mesures provisionnelles, au besoin en faisant valoir que la cause n’était pas en état d’être jugée. Or, l’appelant a laissé le premier juge trancher les conclusions provisionnelles sans faire valoir que l’instruction n’était pas complète et il ne peut pas réparer cette omission dans le cadre de la procédure d’appel, ses conclusions préalables 2 à 6 étant ainsi tardives et, partant, irrecevables. Il en va de même de sa conclusion préalable 7, le juge ayant ordonné la production de la pièce requise, mais son possesseur ayant refusé de la produire. Certes, l’appelant s’est adressé au magistrat instructeur pour contester ce refus et demander que l’injonction de produire la pièce soit assortie de la commination prévue à l’art. 292 CP, mais celle requête est intervenue peu avant l’audience et il ne pouvait échapper à l’appelant que rien n’avait été entrepris jusqu’à l’audience, de sorte que si l’appelant considérait que la production de cette pièce était essentielle, il devait la renouveler aux débats ou à tout le moins interpeller le juge sur cette question. Il n’y a donc pas matière à donner suite aux réquisitions de production de pièces. En revanche, la pièce A-2 produite en appel, soit la copie de la décision rendue le 16 octobre 2014 par l’Office vaudois de l’assurance maladie dans la cause n° 533.891 est recevable, car il s’agit d’un document postérieur à la clôture des débats de première instance.</w:t>
      </w:r>
    </w:p>
    <w:p>
      <w:r>
        <w:rPr>
          <w:b/>
        </w:rPr>
        <w:t>E. 4</w:t>
      </w:r>
    </w:p>
    <w:p>
      <w:r>
        <w:t>a) L’appelant fait valoir que le premier juge a retenu à tort que l’intimée n’avait aucun revenu effectif et considéré qu’on ne pouvait pas lui imputer un revenu hypothétique. En particulier, elle pourrait selon l’appelant percevoir le fruit de la location de l’immeuble dont elle est propriétaire en France. En outre, les versements sur propre compte qu’elle a effectués démontreraient l’existence de revenus. b) Aux termes de l’art. 176 al. 1 ch. 1 CC (Code civil suisse du 10 décembre 1907 ; RS 210), applicable par analogie aux mesures provisionnelles (art. 276 al. 1, 2 e phrase, CPC), le juge fixe la contribution pécuniaire à verser par l’une des parties à l’autre. Tant que dure le mariage, les conjoints doivent donc contribuer, chacun selon ses facultés (art. 163 al. 1 CC), aux frais supplémentaires engendrés par l’existence parallèle de deux ménages. Chaque époux peut prétendre à participer d’une manière identique au train de vie antérieur (ATF 119 lI 314 c. 4b/aa; TF 5A_304/2013 du 1 er novembre 2013 c. 4.1; TF 5A_710/2009 c. 4.1, non publié aux ATF 136 III 257).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(TF 5A_547/2012 du 14 mars 2013 c. 4.1). Cette méthode consiste à évaluer les ressources respectives des conjoints, puis à calculer leurs charges en se fondant sur le minimum vital du droit des poursuites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à moins que l'un des époux doive subvenir aux besoins d'enfants mineurs communs (ATF 126 III 8 c. 3c et les arrêts cités, JT 2000 I 29) ou que des circonstances importantes ne justifient de s’en écarter (ATF 119 II 314 c. 4b/bb). Lorsqu’il fixe la contribution d’entretien, le juge doit avant tout considérer les revenus effectifs des époux, mais aussi ce que ces derniers pourraient gagner s’ils faisaient preuve de bonne volonté ou fournissaient l’effort que l’on peut raisonnablement exiger d’eux (ATF 127 III 136 c. 2a et les références citées). Selon les circonstances, l’époux pourra être ainsi contraint d’exercer une activité lucrative ou d’augmenter son taux de travail (ATF 130 III 537 c. 3.2; ATF 128 III 65 c. 4a). Lorsque le juge examine la possibilité d’imputer à l’un des époux un revenu hypothétique supérieur à celui obtenu effectivement, il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celle-ci, le juge ne peut cependant pas se contenter de dire, de manière toute générale, que la personne en cause pourrait obtenir des revenus supérieurs en travaillant: il doit préciser Ie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(TF 5A_181/2014 du 4 juin 2014 c. 4.3 et les références citées). c) En l’espèce, le premier juge a retenu que l’intimée percevait un salaire mensuel net de 6’900 fr. jusqu’à ce qu’elle donne son congé avec effet au 30 novembre 2013, puis qu’elle avait bénéficié quelques mois des prestations de l’assurance perte de gain. Depuis lors, son activité d’associée gérante de la société E.________ Sàrl, limitée en raison de son état de santé, ne lui procurerait aucun revenu, dès lors que cette société ne dégage vraisemblablement aucun bénéfice. Comme l’essentiel de l’argumentation de l’appelant se fonde sur ce que les pièces requises - mais dont la production a été refusée - pourraient démontrer, il échoue à prouver que le premier juge aurait retenu des faits inexacts. Il n’existe au dossier aucun élément démontrant que l’intimée réaliserait des revenus de E.________ Sàrl, pas plus d’ailleurs qu’elle en percevrait de sa fortune immobilière, en louant sa maison en France. Quant aux versements de montants sur le compte [...] de l’intimée, dont fait état l’appelant, ils constituent pour la grande majorité des virements ou des versements du concubin, aide dont il a été fait état dans la procédure, et qui ne représentent donc pas des gains permettant de retenir une capacité contributive de l’intimée. Quant à l’affirmation de l’appelant selon laquelle les montants versés par le concubin correspondraient en réalité à des commissions, elle ne repose sur rien et est semble contredite par le fait que les montants sont versés chaque fois que le solde du compte avoisine zéro et paraissent dès lors destinés avant tout à subvenir aux besoins de l’intimée. C’est donc à juste titre que le premier juge a retenu que l’intimée ne perçoit plus de revenus et que ses charges sont assumées provisoirement par son compagnon. Quant à la question du revenu hypothétique de l’intimée, le premier juge s’est fondé sur des certificats médicaux récents faisant état d’une incapacité totale de travail de l’intimée pour considérer qu’on ne pouvait exiger d’elle un revenu hypothétique et ce raisonnement ne prête pas le flanc à la critique. En particulier, la contestation de l’ampleur de la dépression ou de son incidence sur la capacité de travail est vaine, dès lors que les constats médicaux comportent clairement le diagnostic d’un état dépressif réactionnel et d’une incapacité de travail totale. Quoi qu’il en soit, en toute hypothèse et dès lors que l’appelant admet que les charges de l’intimée s’élèvent à 4’283 fr. 60 (appel en p. 22 in fine), tout revenu réalisé par celle-ci devrait être affecté en priorité à ses besoins et couvrir son déficit. L’appelant n’apporte donc dans ces circonstances aucun élément permettant, même à douter de l’inexistence de tout revenu de l’intimée, de retenir la capacité de celle-ci à contribuer d’une quelconque manière à son entretien. L’appelant conteste encore certaines charges retenues en faveur de l’intimée, soit le montant du loyer et des frais d’entretien de la fille majeure des parties et en revendique d’autres en sa faveur, comme ses frais de transport et sa charge fiscale, mais, comme on vient de le voir, il n’est pas nécessaire de trancher ces questions, dès lors que la situation de l’intimée est quoi qu’il en soit déficitaire et ne peut conduire, même à supposer les charges corrigées comme le souhaiterait l’appelant, à la fixation d’une contribution d’entretien.</w:t>
      </w:r>
    </w:p>
    <w:p>
      <w:r>
        <w:rPr>
          <w:b/>
        </w:rPr>
        <w:t>E. 5</w:t>
      </w:r>
    </w:p>
    <w:p>
      <w:r>
        <w:t>a) L’appelant demande encore le versement d’une provision ad litem de 8’100 francs. b)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FamPra.ch 2006 p. 892 n. 130 et les réf. citées; Bräm/Hasenböhler, Zürcher Kommentar, 3 e éd., 1998, n. 131 ad art. 159 CC, p. 52 s. et les réf. citées), mais cet aspect n’a pas d’incidence sur les conditions qui président à son octroi. En tout état de cause, selon l’art. 163 al. 1 CC, la loi n’institue plus un devoir général d’entretien (art. 160 al. 2 aCC; ATF 110 II 116 c. 2a), mais une prise en charge conjointe des besoins de la famille au regard des facultés de chacun des époux (Deschenaux/Steinauer/Baddeley, Les effets du mariage, 2 e éd., 2009, p. 229 n. 401 et les réf. citées; TF 5P_421/2006 du 10 juillet 2007 c. 4). c) En l’espèce, comme on l’a vu, la situation financière de l’intimée ne lui permet pas de verser une provision ad litem, dès lors que le versement d’un tel montant entamerait largement son minimum vital.</w:t>
      </w:r>
    </w:p>
    <w:p>
      <w:r>
        <w:rPr>
          <w:b/>
        </w:rPr>
        <w:t>E. 6</w:t>
      </w:r>
    </w:p>
    <w:p>
      <w:r>
        <w:t>Au vu de ce qui précède, l’appel doit être rejeté et l’ordonnance attaquée confirmée. La requête d’assistance judiciaire de l’appelant doit également être rejetée. Selon l’art. 117 CPC, une personne a droit à l’assistance judiciaire si elle ne dispose pas de ressources suffisantes et si sa cause ne paraît pas dépourvue de toute chance de succès, ces deux conditions étant cumulatives. En l’espèce, la seconde condition posée par l’art. 117 CPC n’est pas remplie. En effet, l’intimée ne perçoit manifestement pas de revenus lui permettant de verser une contribution d’entretien et une provisio ad litem à son époux, ce d’autant que son incapacité de travail est en l’état démontrée. L’appel étant dénué de toute chance de succès, l’assistance judiciaire doit être refusée à l’appelant. La situation financière de l’appelant paraissant précaire, on peut renoncer à la perception de frais judiciaires de deuxième instance (art. 112 al. 1 CPC). Il n’y a pas matière à l’allocation de dépens, l’intimée n’ayant pas été invitée à se déterminer. Par ces motifs, le juge délégué de la Cour d’appel civile du Tribunal cantonal, statuant à huis clos, en application de l'art. 312 al. 1 CPC, prononce : I. L’appel est rejeté. II. L’ordonnance est confirmée. III. La requête d’assistance judiciaire est rejetée. IV. L’arrêt, rendu sans frais, est exécutoire. Le juge délégué : La greffière : Du L'arrêt qui précède, dont la rédaction a été approuvée à huis clos, est notifié en expédition complète, par l'envoi de photocopies, à : ‑ Me Stéphane Voisard (pour E.G.________), ‑ Me Caroline Ferrero Menut (pour O.G.________).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