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951 vom 5. Dezember 2014</w:t>
      </w:r>
    </w:p>
    <w:p>
      <w:r>
        <w:t>VD Tribunal cantonal, 2014-12-05, FR</w:t>
      </w:r>
    </w:p>
    <w:p>
      <w:r>
        <w:rPr>
          <w:b/>
        </w:rPr>
        <w:t xml:space="preserve">Quelle: </w:t>
      </w:r>
      <w:r>
        <w:t>https://mcp.opencaselaw.ch/entscheid/vd_findinfo_HC___2014___951</w:t>
      </w:r>
    </w:p>
    <w:p>
      <w:r>
        <w:t>FR: VD_FINDINFO HC / 2014 / 951 du 5 décembre 2014</w:t>
      </w:r>
    </w:p>
    <w:p>
      <w:r>
        <w:t>IT: VD_FINDINFO HC / 2014 / 951 del 5 dicembre 2014</w:t>
      </w:r>
    </w:p>
    <w:p>
      <w:pPr>
        <w:pStyle w:val="Heading2"/>
      </w:pPr>
      <w:r>
        <w:t>Regeste</w:t>
      </w:r>
    </w:p>
    <w:p>
      <w:r>
        <w:t>MODIFICATION DES CIRCONSTANCES, DIVORCE, ACTIVITÉ LUCRATIVE INDÉPENDANTE | 179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Formé en temps utile par une partie qui y a un intérêt (art. 59 al. 2 let. a CPC) et portant sur des conclusions supérieures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L’appelant reproche au premier juge d’avoir ajouté à son bénéfice net, réalisé dans le cadre de son activité indépendante, les montants relatifs aux charges d’amortissements ordinaires figurant au compte pertes et profits, soit 1'073 fr. 50 par mois, montant englobant à tort les provisions. Par ailleurs, il allègue que le bénéfice net réalisé depuis l’exercice 2008, déterminant pour la fixation de la contribution d’entretien lors de la signature de la convention du 16 février 2010, ratifiée le 26 février 2010, présenterait une baisse constante (181'706 fr. 47 en 2008, 155'069 fr. 40 en 2009, 125'277 fr. 52 en 2010, 108'800 fr. 86 en 2011, 101'208 fr. 50 en 2012), de sorte que seul le dernier exercice 2012 devrait être pris en considération pour déterminer son revenu net. L’appelant se plaint également de ce que le premier juge a tenu compte de ses revenus accessoires provenant de son activité pour la société [...] ainsi que l’[...], alors qu’ils avaient été délibérément exclus par les parties dans leur convention du 16 février 2010. Il allègue que les parties se sont séparées durant le mois de septembre 2009, mois durant lequel l’appelant a débuté son activité accessoire pour le compte de la société [...], alors qu’il exerçait déjà une activité indépendante à 100% et qu’il ne saurait être contraint à l’exercice d’une activité professionnelle à un taux plus élevé. a) aa) Une fois que des mesures provisionnelles dans la procédure en divorce ont été ordonnées, elles ne peuvent être modifiées qu'aux conditions de l'art. 179 CC (Code civil suisse du 10 décembre 1907 ; RS 210) (applicable par renvoi de l'art. 276 al. 1 CPC).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 TF 5A_245/2013 du 24 septembre 2013 c.</w:t>
      </w:r>
    </w:p>
    <w:p>
      <w:r>
        <w:rPr>
          <w:b/>
        </w:rPr>
        <w:t>E. 3.1</w:t>
      </w:r>
    </w:p>
    <w:p>
      <w:r>
        <w:t>et TF 5A_15/2014 du 28 juillet 2014 c. 3). Le fait revêt un caractère nouveau lorsqu'il n'a pas été pris en considération pour fixer la contribution d'entretien dans le jugement précédent (ATF 137 III 604 c. 4.1.1; 131 III 189 c. 2.7.4; TF 5A_829/2012 du 7 mai 2013).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Le moment déterminant pour apprécier si des circonstances nouvelles se sont produites est la date du dépôt de la demande de modification. C’est donc à ce moment-là qu’il y a lieu de se placer pour déterminer le revenu et son évolution prévisible (TF 5A_218/2012 du 29 juin 2012 c. 4.1.1). bb) Le revenu déterminant pour la fixation de la contribution d’entretien est le revenu effectif ou effectivement réalisable, soit s’agissant des revenus du travail, le revenu net, cotisations sociales déduites.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Plus les fluctuations de revenus sont importantes et les données fournies par l'intéressé sont incertaines, plus la période de comparaison doit être longue (TF 5A_246/2009 précité c. 3.1 et la référence; TF 5A_259/2012 du 14 novembre 2012 c. 4.1, SJ 2013 I 451; TF 5A_396/2013 du 26 février 2014 c.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 2, in FamPra.ch 2009 464 ; TF 5A_687/2011 du 17 avril 2012 c. 5.1.1 ; TF 5A_973/2013 du 9 mai 2014 c. 5.2.3 ; TF 5A_544/2014 du 17 septembre 2014 c. 4.1). Il convient de corriger le bénéfice annuel en prenant en considération les amortissements extraordinaires, les réserves injustifiées et les achats privés (TF 5A_687/2011 du 17 avril 2012 c. 5.1.1 ; TF 5A_973/2013 du 9 mai 2014 c. 5.2.3). En revanche, les amortissements qui s'effectuent sur plusieurs années et sont liés à des investissements nécessaires et usuels ne doivent pas être ajoutés (TF 5P.114/2006 du 12 mars 2007 c. 3.2 ; Juge déléguée CACI 14 février 2014/77 ; Juge délégué CACI 28 janvier 2013/56). En matière de mesures protectrices, le juge doit s'en tenir à la vraisemblance des faits allégués et une expertise comptable est exclue (Chaix. Commentaire romand, n. 7 ad art. 176 CC; Juge délégué CACI 25 août 2011/211). On ne saurait exiger du juge des mesures provisionnelles ou protectrices qu'il se transforme en expert avisé, qui devrait déceler, sur la base des seuls comptes, où pourraient résider des charges fictives (CREC II 20 octobre 2008/199). b) En l’espèce, la décision ratifiant la convention conclue en février 2010 tenait compte du résultat d’exploitation 2008, soit d’un montant de 181'706 fr. 47, après déduction notamment du « total amortissements et provisions » de 11'300 fr., et retenait ainsi un revenu mensuel net de 15'142 fr. (181'706 fr. 47 / 12). Toutefois, les parties avaient expressément réservé dans leur convention l’évolution de leur situation financière en ces termes : « la situation pourra être revue au fur et à mesure de l’évolution financière des époux », sans limiter l’examen de cette évolution financière aux revenus de l’activité principale de l’époux. Cette réserve émise par les parties, qui n’excluait pas un examen ultérieur de leur situation financière dans son ensemble, permet du reste d’inférer que le montant du revenu de l’époux retenu l’avait été compte tenu du train de vie mené par le couple durant le mariage. L’ordonnance attaquée a considéré que l’appelant réalisait un revenu net de 14'547 fr. au total (10'387 fr. + 3'224 fr. 60 + 935 fr. 50). Ce montant se fonde notamment sur la moyenne du revenu tiré de la société [...], basé sur les trois derniers exercices 2010 à 2012, auquel les amortissements ont été ajoutés. Si l’on admet cependant l’argument de l’appelant selon lequel seul le bénéfice de l’année 2012 de ladite société aurait dû être pris en compte, à l’exclusion des amortissements, soit un revenu net de 8'434 fr. pour un bénéfice net de 101'208 fr. 50 selon lui, le montant du revenu net de l’appelant devrait être arrêté à 12'594 fr. 10, revenus accessoires inclus. Celui-ci aurait ainsi diminué de près de 2'500 fr., soit de 15% environ depuis la convention de 2010 et jusqu’en 2012, sans pour autant que l’évolution de ce revenu puisse être tenue pour prévisible à ce stade. A supposer néanmoins durable, cette diminution pourrait justifier une modification de la contribution d’entretien. c) Toutefois, ce serait omettre le fait que l’appelant vit à présent en concubinage. Lorsque l'époux créancier est en concubinage avec un nouveau partenaire, il y a lieu d'examiner si, dans le cas concret, il est soutenu financièrement par cette personne.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 2.3.2, JT 2012 II 479). En l’espèce, si l’on se réfère au tableau annexé à la convention de mesures protectrices de l’union conjugale du 16 février 2010, une division des coûts communs aurait pour effet de diminuer les charges de l’appelant d’un montant s’élevant à 1'901 fr. 80 (montant de base : 1'700 / 2, soit 850 fr. au lieu de 1'200 fr. + loyer : 2'795 / 2, soit 1'397 fr. 50 au lieu de 2'795 fr. + charges immeubles (gaz+ECA) : 308.55 / 2, soit 154.30 [arrondi] au lieu de 308 fr. 55). En outre, la charge fiscale actuelle de l’appelant est moindre, au vu de la baisse de ses revenus. La charge fiscale arrêtée dans le tableau annexé à la convention de 2010 de 3'351 fr. 50 représentait 22% du bénéfice de 15'142 fr. de 2008. Cette proportion reportée au revenu net de 12'594 fr. 10 permet d’arrêter la charge fiscale de l’appelant à 2'770 fr. 70, soit une diminution de 580 fr. 80 depuis 2010 (3'351 fr. 50 – 2'770 fr. 70). Ainsi, les charges de l’appelant ont baissé de 2'482 fr. 60 depuis le prononcé de 2010 (1'901 fr. 80 + 580 fr. 80). Si l’on compare cette diminution à la diminution de revenu subie par l’appelant de 2'547 fr. 90 (15'142 fr. – 12'594 fr. 10), il appert que la capacité financière de l’appelant a diminué de 65 fr. 30 (2'547 fr. 90 – 2'482 fr. 60) depuis la ratification de la convention de 2010. C’est donc à raison que le premier juge a considéré que la situation n’avait pas évolué de manière significative, au point de justifier une modification de la contribution d’entretien.</w:t>
      </w:r>
    </w:p>
    <w:p>
      <w:r>
        <w:rPr>
          <w:b/>
        </w:rPr>
        <w:t>E. 4</w:t>
      </w:r>
    </w:p>
    <w:p>
      <w:r>
        <w:t>L’appelant allègue que le revenu de l’intimée a augmenté et qu’il se justifie de lui imputer un revenu hypothétique d’au moins 5'320 fr. pour un emploi à 90% ou de 5'911 fr. 25 pour un emploi à 100%. a) Pour fixer la contribution d'entretien, le juge doit en principe tenir compte du revenu effectif du débirentier et du crédirentier. Il peut toutefois leur imputer un revenu hypothétique supérieur (TF 5A_838/2009 du 6 mai 2010, in FamPra.ch 2010 no 45 p. 669; TF 5P. 63/2006 du 3 mai 2006 c. 3.2). Le motif pour lequel l’époux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 3.1; ATF 128 III 4 c. 4c/bb; 126 III 10 c. 2b). b) En l’espèce, l’intimée, âgée de 53 ans, avait dans un premier temps augmenté son taux d’activité de 30%, celui-ci ayant alors passé de 50% à 80%. Elle a ensuite fait plusieurs demandes à son employeur afin d’augmenter ce taux à 90%, voire à 100%. Elle a ainsi pu pendant une certaine période travailler à un taux d’occupation de 90% avant de le baisser à 80% pour notamment pouvoir s’occuper de son père. Celui-ci étant aujourd’hui décédé, elle a demandé à pouvoir à nouveau augmenter son taux d’activité, ce qui lui a été refusé par son employeur dans la mesure où il n’y avait pour l’instant aucun poste vacant de secrétaire à 100%. L’intimée a également indiqué en audience devant le premier juge avoir cherché un autre poste au sein de l’administration cantonale, mais sans succès. Dans ces conditions, compte tenu de l’âge de l’appelante, des efforts qu’elle a consentis et du marché du travail, on ne saurait lui imputer un revenu hypothétique.</w:t>
      </w:r>
    </w:p>
    <w:p>
      <w:r>
        <w:rPr>
          <w:b/>
        </w:rPr>
        <w:t>E. 5</w:t>
      </w:r>
    </w:p>
    <w:p>
      <w:r>
        <w:t>Au vu de ce qui précède, l’appel doit être rejeté et l’ordonnance confirmée. Les frais judiciaires de deuxième instance, arrêtés à 900 fr. (art. 65 al. 2 et 4, art. 6 TFJC [Tarif des frais judiciaires civils du 28 septembre 2010 ; RSV 270.11.5]), sont mis à la charge de l’appelant, qui succombe (art. 106 al. 1 CPC). En outre, l'appelant doit verser à l'intimée la somme de 1'200 fr. (art. 3 al. 2 et 7 al. 1 TDC [Tarif des dépens en matière civile du 23 novembre 2010 ; RSV 270.11.6]) à titre de dépens de deuxième instance. Par ces motifs, la juge déléguée de la Cour d’appel civile du Tribunal cantonal, statuant à huis clos, prononce : I. L’appel est rejeté. II. L’ordonnance est confirmée. III. Les frais judiciaires de deuxième instance, arrêtés à 900 fr. (neuf cents francs), sont mis à la charge de l’appelant. IV. L’appelant T.________ doit verser à l’intimée N.________, la somme de 1'200 fr. (mille deux cents francs) à titre de dépens de deuxième instance. V. L’arrêt est exécutoire. La juge déléguée : Le greffier : Du L'arrêt qui précède, dont la rédaction a été approuvée à huis clos, est notifié à : ‑ M. Bertrand Demierre, avocat (pour T.________), ‑ M. Alain Dubuis, avocat (pour 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