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940 vom 12. November 2014</w:t>
      </w:r>
    </w:p>
    <w:p>
      <w:r>
        <w:t>VD Tribunal cantonal, 2014-11-12, FR</w:t>
      </w:r>
    </w:p>
    <w:p>
      <w:r>
        <w:rPr>
          <w:b/>
        </w:rPr>
        <w:t xml:space="preserve">Quelle: </w:t>
      </w:r>
      <w:r>
        <w:t>https://mcp.opencaselaw.ch/entscheid/vd_findinfo_HC___2014___940</w:t>
      </w:r>
    </w:p>
    <w:p>
      <w:r>
        <w:t>FR: VD_FINDINFO HC / 2014 / 940 du 12 novembre 2014</w:t>
      </w:r>
    </w:p>
    <w:p>
      <w:r>
        <w:t>IT: VD_FINDINFO HC / 2014 / 940 del 12 novembre 2014</w:t>
      </w:r>
    </w:p>
    <w:p>
      <w:pPr>
        <w:pStyle w:val="Heading2"/>
      </w:pPr>
      <w:r>
        <w:t>Regeste</w:t>
      </w:r>
    </w:p>
    <w:p>
      <w:r>
        <w:t>PREUVE À FUTUR, EXPERTISE, AVANCE DE FRAIS, DÉPENS | 367 al. 2 CO, 102 CPC (CH), 107 al. 1 let. f CPC (CH), 110 CPC (CH), 158 al. 1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110 CPC prévoyant que la décision sur les frais, lesquels comprennent les frais judiciaires et les dépens (art. 95 al. 1 CPC), ne peut être attaquée séparément que par un recours. Le recours, écrit et motivé, est introduit dans un délai de trente jours auprès de l’instance de recours (art. 321 al. 1 CPC), soit la Chambre des recours civile (art. 73 al. 1 LOJV [loi vaudoise d’organisation judiciaire du 12 décembre 1979; RSV 173.01]). Interjeté en temps utile, par des parties qui y ont un intérêt (art. 59 al. 2 let. a CPC), le recours est recevable à la forme.</w:t>
      </w:r>
    </w:p>
    <w:p>
      <w:r>
        <w:rPr>
          <w:b/>
        </w:rPr>
        <w:t>E. 2</w:t>
      </w:r>
    </w:p>
    <w:p>
      <w:r>
        <w:t>Le recours est recevable pour violation du droit et constatation manifestement inexacte des faits (art. 320 CPC). Pour ce qui est de la constatation manifestement inexacte des faits, ce grief, comme pour l’art. 97 al. 1 LTF, ne permet que de corriger une erreur évidente, la notion se recoupant en définitive avec l’appréciation arbitraire des preuves (Jeandin, CPC commenté, Bâle 2011, n.</w:t>
      </w:r>
    </w:p>
    <w:p>
      <w:r>
        <w:rPr>
          <w:b/>
        </w:rPr>
        <w:t>E. 5</w:t>
      </w:r>
    </w:p>
    <w:p>
      <w:r>
        <w:t>En définitive, le recours doit être rejeté et la décision confirmée. Les frais judiciaires de deuxième instance, arrêtés à 460 fr. (art. 69 al. 1 TFJC [tarif des frais judiciaires civils du 28 septembre 2010, RSV 270.11.5]), sont mis à la charge des recourants, qui succombent, solidairement entre eux (art. 106 al. 1CPC). Il n’y a pas matière à l’allocation de dépens, l'intimée n'ayant pas été invitée à se déterminer. Par ces motifs, la Chambre des recours civile du Tribunal cantonal, statuant à huis clos, en application de l'art. 322 al. 1 CPC, prononce : I. Le recours est rejeté. II. Le jugement est confirmé. III. Les frais judiciaires de deuxième instance, arrêtés à 460 fr. (quatre cent soixante francs) sont mis à la charge des recourants M.________ et B.________, solidairement entre eux. IV. L'arrêt motivé est exécutoire. Le président :               La greffière : Du 13 novembre 2014 Le dispositif de l'arrêt qui précède est communiqué par écrit aux intéressés. La greffière : Du L'arrêt qui précède, dont la rédaction a été approuvée à huis clos, est notifié en expédition complète, par l'envoi de photocopies, à : ‑ M. Serge Maret (pour M.________ et B.________), ‑ Me David Moinat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