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933 vom 10. November 2014</w:t>
      </w:r>
    </w:p>
    <w:p>
      <w:r>
        <w:t>VD Tribunal cantonal, 2014-11-10, FR</w:t>
      </w:r>
    </w:p>
    <w:p>
      <w:r>
        <w:rPr>
          <w:b/>
        </w:rPr>
        <w:t xml:space="preserve">Quelle: </w:t>
      </w:r>
      <w:r>
        <w:t>https://mcp.opencaselaw.ch/entscheid/vd_findinfo_HC___2014___933</w:t>
      </w:r>
    </w:p>
    <w:p>
      <w:r>
        <w:t>FR: VD_FINDINFO HC / 2014 / 933 du 10 novembre 2014</w:t>
      </w:r>
    </w:p>
    <w:p>
      <w:r>
        <w:t>IT: VD_FINDINFO HC / 2014 / 933 del 10 novembre 2014</w:t>
      </w:r>
    </w:p>
    <w:p>
      <w:pPr>
        <w:pStyle w:val="Heading2"/>
      </w:pPr>
      <w:r>
        <w:t>Regeste</w:t>
      </w:r>
    </w:p>
    <w:p>
      <w:r>
        <w:t>INDEMNITÉ ÉQUITABLE, AVOCAT D'OFFICE | 122 al. 1 let. a CPC (CH)</w:t>
      </w:r>
    </w:p>
    <w:p>
      <w:pPr>
        <w:pStyle w:val="Heading2"/>
      </w:pPr>
      <w:r>
        <w:t>Erwägungen</w:t>
      </w:r>
    </w:p>
    <w:p>
      <w:r>
        <w:rPr>
          <w:b/>
        </w:rPr>
        <w:t>E. 1</w:t>
      </w:r>
    </w:p>
    <w:p>
      <w:r>
        <w:t>Le recours est recevable contre les autres décisions et ordonnances d'instruction de première instance dans les cas prévus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CPC commenté, op. cit., n. 22 ad art. 122 CPC). Formé en temps utile par une partie qui y a un intérêt digne de protection (art. 59 al. 2 let. a CPC), le présent recours est recevable.</w:t>
      </w:r>
    </w:p>
    <w:p>
      <w:r>
        <w:rPr>
          <w:b/>
        </w:rPr>
        <w:t>E. 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les pièces qui ne figurent pas déjà au dossier de première instance sont irrecevables.</w:t>
      </w:r>
    </w:p>
    <w:p>
      <w:r>
        <w:rPr>
          <w:b/>
        </w:rPr>
        <w:t>E. 3</w:t>
      </w:r>
    </w:p>
    <w:p>
      <w:r>
        <w:t>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heures et 30 minutes à l’étude du dossier et des documents ainsi qu’à l’établissement d’un décompte et 2 heures et 40 minutes aux recherches juridiques, il apparaît déjà important si l’on considère l’absence de difficultés particulières de la cause. Il reste néanmoins raisonnable compte tenu précisément du résultat obtenu. On observera encore que la recourante ne remet pas en question le temps arrêté au titre de la rédaction de la requête de conciliation, du bordereau de pièces et de la demande d’assistance judiciaire. Il est enfin relevé que la procédure écrite ne représente aucune ampleur exceptionnelle, de sorte que le temps arrêté par le premier juge pour la rédaction des différentes écritures versées au dossier doit être confirmé. En définitive, le prononcé entrepris, dûment motivé, est exempt de tout reproche s’agissant du temps retenu par le premier juge. On ne décèle à cet égard aucun arbitraire dans les faits et aucun abus du pouvoir d’appréciation.</w:t>
      </w:r>
    </w:p>
    <w:p>
      <w:r>
        <w:rPr>
          <w:b/>
        </w:rPr>
        <w:t>E. 5</w:t>
      </w:r>
    </w:p>
    <w:p>
      <w:r>
        <w:t>La recourante évoque, à raison, des erreurs de calcul tant dans la motivation que dans le dispositif de la décision entreprise. En effet, en comptabilisant 23 heures et 9 minutes d’honoraires à 180 fr. par heure, l’on obtient le montant de 4'500 fr. 35, TVA comprise. Quant aux débours, ils doivent être pris en compte à hauteur de 223 fr. 30 (120 fr. à titre de frais divers + 103 fr. 30 à titre d’émoluments acquittés auprès de l’Office des poursuites de [...] [...]), auquel doit s’ajouter un montant de 17 fr. 85, à titre de TVA (8%), soit un montant total de 241 fr. 15. L’indemnité s’élève dès lors à 4'741 fr. 50 (4'500 fr. 35 + 241 fr. 15), au lieu du montant de 4'731 fr. 30 retenu par le premier juge, soit une différence de 10 fr. 20. Il convient ici de rectifier cette erreur. Quand bien même la recourante n’a pas pris de conclusion subsidiaire formelle à ce sujet, l’augmentation doit être néanmoins accordée, dans la mesure où elle a conclu à titre principal à la fixation d’une indemnité s’élevant à 8'211 fr. 35.</w:t>
      </w:r>
    </w:p>
    <w:p>
      <w:r>
        <w:rPr>
          <w:b/>
        </w:rPr>
        <w:t>E. 6</w:t>
      </w:r>
    </w:p>
    <w:p>
      <w:r>
        <w:t>En définitive, le recours doit être très partiellement admis. La recourante, qui avait conclu à l’allocation d’une indemnité de 8'211 fr. 35, n’obtient gain de cause que pour une infime partie de ses conclusions. Il se justifie dès lors de mettre à sa charge l’entier des frais judiciaires, arrêtés à 100 francs. Par ces motifs, la Chambre des recours civile du Tribunal cantonal, statuant à huis clos, prononce : I. Le recours est très partiellement admis. II. Le prononcé est réformé comme il suit au chiffre I de son dispositif : I. fixe l’indemnité de conseil d’office de P.________ allouée à l’avocate B.________ à 4'741 fr. 50 (quatre mille sept cent quarante et un francs et cinquante centimes) pour la période du 23 août 2013 au 8 août 2014. Le prononcé est confirmé pour le surplus. III. Les frais judiciaires de deuxième instance, arrêtés à 100 fr. (cent francs) sont mis à la charge de la recourante B.________. IV. L’arrêt motivé est exécutoire. Le président :               Le greffier : Du</w:t>
      </w:r>
    </w:p>
    <w:p>
      <w:r>
        <w:rPr>
          <w:b/>
        </w:rPr>
        <w:t>E. 11</w:t>
      </w:r>
    </w:p>
    <w:p>
      <w:r>
        <w:t>novembre 2014 Le dispositif de l’arrêt qui précède est communiqué par écrit aux intéressés. Le greffier : Du L'arrêt qui précède, dont la rédaction a été approuvée à huis clos, est notifié en expédition complète, par l’envoi de photocopies, à : ‑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