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925 vom 25. November 2014</w:t>
      </w:r>
    </w:p>
    <w:p>
      <w:r>
        <w:t>VD Tribunal cantonal, 2014-11-25, FR</w:t>
      </w:r>
    </w:p>
    <w:p>
      <w:r>
        <w:rPr>
          <w:b/>
        </w:rPr>
        <w:t xml:space="preserve">Quelle: </w:t>
      </w:r>
      <w:r>
        <w:t>https://mcp.opencaselaw.ch/entscheid/vd_findinfo_HC___2014___925</w:t>
      </w:r>
    </w:p>
    <w:p>
      <w:r>
        <w:t>FR: VD_FINDINFO HC / 2014 / 925 du 25 novembre 2014</w:t>
      </w:r>
    </w:p>
    <w:p>
      <w:r>
        <w:t>IT: VD_FINDINFO HC / 2014 / 925 del 25 novembre 2014</w:t>
      </w:r>
    </w:p>
    <w:p>
      <w:pPr>
        <w:pStyle w:val="Heading2"/>
      </w:pPr>
      <w:r>
        <w:t>Regeste</w:t>
      </w:r>
    </w:p>
    <w:p>
      <w:r>
        <w:t>EXPULSION DE LOCATAIRE, CAS CLAIR, DEMEURE, SOMMATION | 257d CO, 257 CPC (CH)</w:t>
      </w:r>
    </w:p>
    <w:p>
      <w:pPr>
        <w:pStyle w:val="Heading2"/>
      </w:pPr>
      <w:r>
        <w:t>Erwägungen</w:t>
      </w:r>
    </w:p>
    <w:p>
      <w:r>
        <w:rPr>
          <w:b/>
        </w:rPr>
        <w:t>E. 1</w:t>
      </w:r>
    </w:p>
    <w:p>
      <w:r>
        <w:t>a) L’appel est recevable contre les décisions finales de première instance (art. 308 al. 1 let. a CPC), dans les causes patrimoniales où la valeur litigieuse au dernier état des conclusions est de 10’000 fr. au moins (art. 308 al. 2 CPC). L’art. 319 let. a CPC ouvre la voie subsidiaire du recours contre les décisions finales qui ne peuvent pas faire l’objet d’un appel Le litige porte sur le bien-fondé d'une ordonnance d'expulsion rendue pour défaut de paiement de frais accessoires échus.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du bail en cause s’élève à 1'440 francs. Calculée conformément à l'art. 92 al. 1 CPC, la valeur litigieuse excède 10'000 fr., si bien que c'est la voie de l'appel qui est ouverte (art. 308 al. 2 CPC). b) L’ordonnance ayant été rendue en procédure sommaire, le délai d’appel est de dix jours à compter de la notification de la décision motivée (art. 314 al. 1 CPC). Ce délai a été respecté et il convient d’entrer en matière sur l’appel.</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w:t>
      </w:r>
    </w:p>
    <w:p>
      <w:r>
        <w:rPr>
          <w:b/>
        </w:rPr>
        <w:t>E. 3</w:t>
      </w:r>
    </w:p>
    <w:p>
      <w:r>
        <w:t>a)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 3.2.1 ; TF 4A_87/2012 du 10 avril 2012 c. 3.1.1 et les références).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 5 ; TF 4A_312/2013 du 17 octobre 2013 c. 3.2). b) L’appelant a joint à son acte d’appel la copie d’une « demande d’arrangement de paiement » datée du 31 mars 2014 et signée par ses soins, dans laquelle il demande de pouvoir régler la somme de 1'185 fr. 05 (correspondant aux suppléments de chauffage pour les saisons 2011/2012 et 2012/2013, par respectivement 519 fr. 95 et 535 fr. 75, plus le montant de la facture technique du</w:t>
      </w:r>
    </w:p>
    <w:p>
      <w:r>
        <w:rPr>
          <w:b/>
        </w:rPr>
        <w:t>E. 7</w:t>
      </w:r>
    </w:p>
    <w:p>
      <w:r>
        <w:t>janvier 2013 par 129 fr. 35) en 4 mensualités de 296 fr. 25, le premier versement devant intervenir le 30 avril 2014. Il a également produit la copie de courriers émanant de la gérance, datés des 8 avril 2011, 12 et 17 juin 2014. Conformément à la jurisprudence du Tribunal fédéral (cf. supra c. 3a in fine), la Cour de céans ne saurait prendre en considération ces pièces qui n’ont pas été soumises au premier juge. Au demeurant, la photocopie du document « demande d’arrangement de paiement » produite ne prouve nullement qu’elle aurait effectivement été soumise à l’intimée et encore moins qu’elle aurait été acceptée par celle-ci. 4. L’appelant soutient qu’il y aurait mauvaise foi de l’intimée, faisant valoir que les frais accessoires échus se montaient à 1'055 fr. 70, qu’il aurait ensuite signé le 31 août ( recte : mars) 2014 un accord de paiement pour un montant de 1'185 fr. 05 (incluant le montant d’une facture technique du 7 janvier 2013 par 129 fr. 35) et qu’enfin, l’avis comminatoire qui lui a été adressé le 7 avril 2014 portait sur un montant de 1'461 fr. 30. Il demande que l’accord passé avec la gérance P.________ soit respecté. 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 3.1 ; TF 4A_38/2007 du 7 août 2007 c. 4.1; TF 4C.479/1997 du 24 juin 1998 c. 3a). Un solde de décompte de chauffage et d’eau chaude peut faire l’objet de la mise en demeure de l’art. 257d al. 1 CO lorsque celui-ci n’est pas contesté (CREC I 24 septembre 2009/496 c. 3b). En revanche, les frais de commandement de payer et les intérêts réclamés en application de l’art. 106 CO ne peuvent être compris dans la sommation et doivent par conséquent être retranchés du montant total exigé (CREC I 9 décembre 2010/649 c. 4b). Lorsqu’il n’a pas réglé l’arriéré dans le délai comminatoire prévu par l’art. 257d CC, le locataire est en demeure et doit subir les conséquences juridiques de l’alinéa 2 de cette disposition (ATF 127 III 548 c. 4), cela même si l’arriéré a finalement été payé (TF 27 février 1997, in Cahiers du bail [CdB] 3/97 pp. 65 ss). b) Le locataire qui n'a pas saisi la Commission de conciliation en matière de baux à loyer d'une requête en annulation de congé dans le délai de l'art. 273 al. 1 CO – soit dans les 30 jours dès réception du congé – ne peut plus faire valoir, dans le cadre de la procédure d'expulsion, que le congé est annulable au sens des art. 271 et 271a CO, notamment qu'il aurait été donné contrairement au principe de la bonne foi (art. 271 al. 1 CO) (TF 4C.430/2004 du 8 février 2005 c. 3.2.1, in SJ 2005 I 310; ATF 133 III 175 c. 3.3.4, JT 2008 I 314). En revanche, la nullité ou l'inefficacité peuvent en principe être constatés en tout temps – même à défaut de saisine de l'autorité de conciliation dans le délai légal – par toute autorité valablement saisie, soit essentiellement l'autorité chargée de prononcer l'expulsion (ATF 121 III 156 c. 1c; TF 4 C.430/2004 du 8 février 2005 c. 3.2.1, in SJ 2005 I 310). c) En l’occurrence, l’appelant n’a pas saisi la Commission de conciliation en matière de baux à loyer d’une requête en annulation du congé qui lui a été signifié par l’intimée le 14 mai 2014. Faute d’avoir saisi cette autorité dans le délai péremptoire de l’art. 273 al. 1 CO, il n’y a pas lieu d’examiner si le congé litigieux serait contraire aux règles de la bonne foi au sens des art. 271 et 271a CO, mais uniquement s’il est inefficace. Dans un arrêt de principe rendu à cinq juges, la Chambre des recours a jugé inefficace le congé qui repose sur une mise en demeure portant sur un montant disproportionné par rapport au loyer effectivement dû (du simple au double). Elle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18 janvier 2006/89 c. 3). Il en va de même a fortiori d'une disproportion du simple au triple (CACI 2 janvier 2012/1). Dans un autre arrêt de principe (CREC I 3 septembre 2010/457), la Chambre des recours a précisé sa jurisprudence, sans la modifier,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celui-ci dans le délai de l'art. 273 al. 1 CO sous peine de forclusion. d) En l’espèce, la sommation du 7 avril 2014 portait sur un montant total de 1'461 fr. alors que les frais accessoires effectivement dus s’élevaient à 1'055 fr. 70. Avec une différence de 585 fr. 95, on est loin de la disproportion retenue par la jurisprudence exposée ci-dessus. On relève par ailleurs que cette sommation donnait le détail des sommes réclamées. Dans ces circonstances, l’appelant, avocat libyen comme il le mentionne dans ses diverses écritures, était à même de comprendre que c’est le non-paiement des frais accessoires échus, par 519 fr. 95 et 535 fr. 75, qui était susceptible de justifier la résiliation du bail selon l’art. 257d CO. Or, il ne conteste pas qu’à l’échéance du délai imparti, il ne s’est pas acquitté de ces frais accessoires. C’est donc à bon droit que le premier juge a considéré que la différence entre le montant réclamé et celui effectivement dû ne rendait pas le congé inefficace. Partant, il a à raison conclu que la situation relevait d’un cas clair au sens de l’art. 257 CPC et que le congé donné le 14 mai 2014 pour le 30 juin 2014 était valable au regard de l’art. 257d CO. 5. En définitive, l’appel doit être rejeté selon le mode procédural de l'art. 312 al. 1 CPC et l'ordonnance entreprise confirmée. Vu l'effet suspensif accordé à l'appel de par la loi (art. 315 al. 1 CPC), la cause doit être renvoyée au premier juge afin qu'il fixe à l’appelant, une fois les considérants écrits du présent arrêt envoyés pour notification aux parties, un nouveau délai pour libérer les locaux en cause. Les frais judiciaires de deuxième instance, arrêtés à 100 fr. (art. 62 al. 1 et 3 TFJC [tarif du 28 septembre 2010 des frais judiciaires civils; RSV 270.11.5]), seront mis à la charge de l’appelant qui succombe (art. 106 al. 1 CPC). Il n’y a pas lieu d’allouer de dépens, dès lors que l’intimée n'a pas été invitée à se déterminer sur l'appel et n’a donc pas encouru de frais pour la procédure d’appel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