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920 vom 24. November 2014</w:t>
      </w:r>
    </w:p>
    <w:p>
      <w:r>
        <w:t>VD Tribunal cantonal, 2014-11-24, FR</w:t>
      </w:r>
    </w:p>
    <w:p>
      <w:r>
        <w:rPr>
          <w:b/>
        </w:rPr>
        <w:t xml:space="preserve">Quelle: </w:t>
      </w:r>
      <w:r>
        <w:t>https://mcp.opencaselaw.ch/entscheid/vd_findinfo_HC___2014___920</w:t>
      </w:r>
    </w:p>
    <w:p>
      <w:r>
        <w:t>FR: VD_FINDINFO HC / 2014 / 920 du 24 novembre 2014</w:t>
      </w:r>
    </w:p>
    <w:p>
      <w:r>
        <w:t>IT: VD_FINDINFO HC / 2014 / 920 del 24 novembre 2014</w:t>
      </w:r>
    </w:p>
    <w:p>
      <w:pPr>
        <w:pStyle w:val="Heading2"/>
      </w:pPr>
      <w:r>
        <w:t>Regeste</w:t>
      </w:r>
    </w:p>
    <w:p>
      <w:r>
        <w:t>EXPULSION DE LOCATAIRE, CAS CLAIR, CONDITION DE RECEVABILITÉ | 257d CO, 257 CPC (CH)</w:t>
      </w:r>
    </w:p>
    <w:p>
      <w:pPr>
        <w:pStyle w:val="Heading2"/>
      </w:pPr>
      <w:r>
        <w:t>Erwägungen</w:t>
      </w:r>
    </w:p>
    <w:p>
      <w:r>
        <w:rPr>
          <w:b/>
        </w:rPr>
        <w:t>E. 1</w:t>
      </w:r>
    </w:p>
    <w:p>
      <w:r>
        <w:t>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Qu’il s’agisse d’une demande ou d’un appel, l'intéressé doit démontrer qu'il a un intérêt juridique actuel à voir le juge statuer sur ses conclusions (Bohnet, CPC commenté, Bâle 2011, n. 89 ad art. 59 CPC). Comme toute condition de recevabilité, l'intérêt doit exister au moment du jugement (Bohnet, op. cit., n. 92 ad art. 59 CPC et n. 13 ad art. 60 CPC et les références de jurisprudence et de doctrine citées; Hohl, Procédure civile, tome I, Berne 2001, n. 318, p. 78). Cela signifie que la qualité pour recourir ou appeler suppose un intérêt actuel et pratique à obtenir l’annulation de la décision attaquée (TF 1B_111/2010 du 7 mai 2010; ATF 135 I 79 c. 1.1; ATF 128 II 34 c. 1b). L'absence d'un tel intérêt – qui doit être constatée d'office (art. 60 CPC) – entraîne l'irrecevabilité du recours (Freiburghaus/Afheldt, ZPO Kommentar, 2 e éd., Zürich/Basel/Genf 2013, nn. 10 et 11 ad art. 321 CPC; cf. Corboz, Commentaire de la LTF [loi sur le Tribunal fédéral; RS 173.110], n. 14 ad art. 76 LTF et les références citées). Le litige porte sur le bien-fondé d’une ordonnance d’expulsion rendue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Il 147 c. 1). Le loyer mensuel des locaux objets du présent litige s’élève à 700 francs. Calculée conformément à l'art. 92 CPC, la valeur litigieuse excède 10'000 fr., si bien que c'est la voie de l'appel qui est ouverte (art. 308 al. 2 CPC). b) L’ordonnance ayant été rendue en procédure sommaire, le délai d’appel est de dix jours à compter de la notification de la décision motivée (art. 314 al. 1 CPC). Les citations, les ordonnances et les décisions sont notifiées par envoi recommandé ou d’une autre manière contre accusé de réception (art. 138 al. 1 CPC).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(TF 8C_412/2011 du 30 avril 2012 c. 3.2); il appartient à celui qui se prévaut de l’irrégularité de la notification, en particulier du défaut de remise dans sa boîte aux lettres d’un avis de retrait après présentation infructueuse, d’en rapporter la preuve (TF 4A_250/2008 du 18 juin 2008 c. 3.2.2 ; TF 1P.505/1998 du 28 octobre 1998 c. 2c, in SJ 1999 I p. 145).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(al. 3). c) En l’espèce, l’ordonnance litigieuse a été notifiée par pli recommandé le 30 septembre 2014. L’appelant n’étant pas allé retirer ce pli dans le délai de garde échéant le 8 octobre 2014, l’ordonnance est réputée notifiée à cette date. Le délai d’appel qui arrivait à échéance le samedi 18 octobre 2014, a été reporté au lundi 20 octobre 2014. Partant, le courrier déposé le 20 octobre 2014 par l’appelant est intervenu dans le délai légal d’appel. Son courrier du 22 octobre 2014, doit en revanche être considéré comme tardif et les pièces qui y sont jointes sont irrecevables. A la lecture de son courrier du 22 octobre 2014, dans lequel l’appelant expose qu’il se serait arrangé avec sa bailleresse pour reporter la date de la fin de son bail et qu’il serait sur le point de quitter la Suisse pour aller s’établir dans son pays d’origine, on peut douter de son intérêt actuel à contester l’ordonnance d’expulsion litigieuse. Compte tenu de l’issue de l’appel, cette question peut cependant demeurer ouverte.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et la jurisprudence constante de la CACI, par exemple CACI 1 er février 2012/57 c. 2a, 7 mai 2013/224 c. 2b, 4 juillet 2013/350 c. 2). b) Dans son acte du 20 octobre 2014, l’appelant ne prend pas de conclusion formelle. On comprend cependant qu’il remet en cause la validité du congé ainsi que la durée du délai d’évacuation fixé par la Juge de paix, ce qui paraît suffisant à l’égard d’un prononcé d’expulsion rendu dans le cadre d’une procédure sommaire.</w:t>
      </w:r>
    </w:p>
    <w:p>
      <w:r>
        <w:rPr>
          <w:b/>
        </w:rPr>
        <w:t>E. 3</w:t>
      </w:r>
    </w:p>
    <w:p>
      <w:r>
        <w:t>L’appelant semble soutenir que les conditions d’application de l’art. 257d CO ne seraient pas réalisées. Il se prévaut du fait qu’il n’aurait pas de retard dans le paiement de ses loyers et qu’il s’agirait d’une erreur comptable de la gérance représentant l’intimée. a) L'art. 257d CO dispose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 e éd.,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Cette jurisprudence garde sa pertinence sous l’empire du CPC (CACI 27 mars 2014/160 et références). b) Le délai comminatoire commence à courir lorsque le locataire a effectivement reçu en ses mains la mise en demeure, mais au plus tard à l’échéance du délai de garde postal de sept jours (ATF 137 III 208 c. 3.1.3 ; ATF 119 II 147, JT 1994 I 205 ; Lachat, op. cit., p. 667 ; Burkhalter/Martinez-Favre, Commentaire SVIT du droit du bail, n. 28 ad art. 257d CO).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 _451/2011 du 29 novembre 2011 c. 3.3).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 C’est à la partie qui prétend que son obligation a été exécutée - et objecte ainsi le fait qu’elle est éteinte - de prouver cette exécution (ATF 128 III 271, JT 2003 I 606 c. 2a/aa). Il appartient ainsi au débiteur de prouver l’exécution de son obligation, notamment par paiement (CACI 4 février 2014/62). c) En l’espèce, l’appelant n’a pas retiré le pli recommandé du 10 février 2014, par lequel l’intimée le mettait en demeure de payer les loyers dus dans un délai de trente jours, faute de quoi son bail serait résilié. Le délai de garde postal est échu le 18 février 2014. La théorie de la réception relative telle que rappelée ci-dessus (c. 3b) étant applicable au cas d’espèce, le délai comminatoire arrivait à échéance le 18 mars 2013. L’appelant, s’il affirme qu’il y aurait eu une erreur comptable de l’intimée, ne démontre toutefois pas qu’il aurait versé l’entier du solde dû de ses loyers dans ce délai. Il ressort au contraire des pièces du dossier que les versements de l’appelant sont intervenus respectivement les 13 et 28 février 2014, puis le 2 avril 2014, soit en dehors du délai comminatoire. Enfin, s’il fait valoir divers défauts dans l’appartement qu’il loue à l’intimée, l’appelant ne démontre pas leur existence. On relève ainsi que la gérance a rapidement fait suite à sa demande d’installation d’un digicode à la première porte d’entrée de l’immeuble. L’appelant ne démontre pas non plus qu’il aurait invoqué, dans le délai comminatoire, la compensation des loyers dus. Compte tenu de ces éléments, c’est à raison que la Juge de paix a considéré que les conditions de l’art. 257d CO étaient réalisées et que la résiliation du bail à l’échéance du délai légal, soit au 30 juin 2014, était valable.</w:t>
      </w:r>
    </w:p>
    <w:p>
      <w:r>
        <w:rPr>
          <w:b/>
        </w:rPr>
        <w:t>E. 4</w:t>
      </w:r>
    </w:p>
    <w:p>
      <w:r>
        <w:t>L’appelant semble enfin contester le délai d’évacuation fixé par la Juge de paix, l’estimant « illégal ». A l’appui de cet argument, il soutient n’avoir pris connaissance de l’ordonnance litigieuse qu’en date du 18 octobre 2014, soit quatre jours avant l’échéance du délai d’évacuation. Cet argument n’est toutefois pas pertinent dès lors que la notification de l’ordonnance entreprise est valablement intervenue le 8 octobre 2014 (c. 1c supra). Le délai d’évacuation fixé au 21 octobre suivant est ainsi conforme à la jurisprudence susmentionnée (c. 3a supra) et a été prolongé du fait de l’effet suspensif de l’appel.</w:t>
      </w:r>
    </w:p>
    <w:p>
      <w:r>
        <w:rPr>
          <w:b/>
        </w:rPr>
        <w:t>E. 5</w:t>
      </w:r>
    </w:p>
    <w:p>
      <w:r>
        <w:t>En définitive, l'appel doit, dans la mesure où il est recevable, être rejeté selon le mode procédural de l’art. 312 al. 1 CPC et l’ordonnance confirmée. Le délai de libération des locaux étant échu du fait de l’effet suspensif de l’appel, et dans la mesure où l’appelant s’est contenté d’affirmer – sans le démontrer – qu’il se serait arrangé avec l’intimée quant à la date de libération des locaux, il convient de renvoyer la cause au premier juge pour qu’il fixe à l'appelant un nouveau délai pour libérer ces derniers. Les frais judiciaires de deuxième instance, arrêtés à 100 fr. (art. 62 al. 3 et 69 al. 1 TFJC [tarif du 28 septembre 2010 des frais judiciaires civils ; RSV 270.11.5]), seront dès lors mis à la charge de l'appelant,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