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91 vom 10. Februar 2014</w:t>
      </w:r>
    </w:p>
    <w:p>
      <w:r>
        <w:t>VD Tribunal cantonal, 2014-02-10, FR</w:t>
      </w:r>
    </w:p>
    <w:p>
      <w:r>
        <w:rPr>
          <w:b/>
        </w:rPr>
        <w:t xml:space="preserve">Quelle: </w:t>
      </w:r>
      <w:r>
        <w:t>https://mcp.opencaselaw.ch/entscheid/vd_findinfo_HC___2014___91</w:t>
      </w:r>
    </w:p>
    <w:p>
      <w:r>
        <w:t>FR: VD_FINDINFO HC / 2014 / 91 du 10 février 2014</w:t>
      </w:r>
    </w:p>
    <w:p>
      <w:r>
        <w:t>IT: VD_FINDINFO HC / 2014 / 91 del 10 febbraio 2014</w:t>
      </w:r>
    </w:p>
    <w:p>
      <w:pPr>
        <w:pStyle w:val="Heading2"/>
      </w:pPr>
      <w:r>
        <w:t>Regeste</w:t>
      </w:r>
    </w:p>
    <w:p>
      <w:r>
        <w:t>REPRÉSENTATION EN PROCÉDURE, BAIL À LOYER, EXPULSION DE LOCATAIRE | 68 al. 2 CPC (CH), 36 al. 2 CDPJ</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d’au moins 10'000 fr. (art. 308 al. 2 CPC). Interjeté en temps utile par une personne y ayant intérêt, dans un litige dont la valeur litigieuse de première instance, calculée selon l’art. 92 al. 1 CPC,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la pièce produite par l’appelante figure déjà au dossier de première instance. Elle est en conséquence recevable.</w:t>
      </w:r>
    </w:p>
    <w:p>
      <w:r>
        <w:rPr>
          <w:b/>
        </w:rPr>
        <w:t>E. 3</w:t>
      </w:r>
    </w:p>
    <w:p>
      <w:r>
        <w:t>L’appelante fait valoir qu’elle a signé une procuration en faveur de Fiduciaire H.________ SA, qui a été produite en première instance, et que celle-ci était donc habilitée à la représenter devant le premier juge. Selon l’art. 68 al. 1 CPC, toute personne capable d’ester en justice peut se faire représenter au procès. Cette faculté est limitée en matière de choix d’un représentant professionnel par l’art. 68 al. 2 CPC, puisque ne peuvent être choisis que les avocats autorisés à pratiquer en vertu de la loi fédérale du 23 juin 2000 sur la libre circulation des avocats (let. a), ou les agents d’affaires brevetés devant l’autorité de conciliation dans les affaires patrimoniales soumises à la procédure simplifiée et dans celles soumises à la procédure sommaire, si le droit cantonal le prévoit (let. b), ou les représentants professionnels au sens de l’art. 27 LP (loi du 11 avril 1889 sur la poursuites pour dettes et la faillite ; RS 281 LP), pour les affaires de LP soumises à la procédure sommaire (let. c) ou encore les mandataires professionnellement qualifiés devant les juridictions spéciales en matière de contrat de bail ou de contrat de travail si le droit cantonal le permet (let. d). En outre, en matière de conciliation dans les causes soumises à la procédure simplifiée, l’art. 204 al. 3 let. c CPC autorise le bailleur à déléguer à l’audience le gérant de l’immeuble à la condition que celui-ci soit habilité par écrit à transiger. Le CPC ne définit pas la notion de représentation professionnelle (Staehelin/Schweizer, Kommentar zur Schweizerischen Zivilprozessordnung, Sutter-Somm/Hasenböhler/Leuenberger Hrsg, 2 e éd., 2013, n. 8 ad art. 68 CPC, pp. 563-564). La cour de céans s’est référée à ce sujet à la définition posée en relation avec l’art. 27 LP selon laquelle on est en présence d’une représentation professionnelle lorsque quelqu’un représente régulièrement et contre rémunération des mandants devant les autorités de poursuites (Roth/Walther, Basler Kommentar, 2 e éd., 2010, n. 7 ad art. 27 LP, p. 181). Le critère de la régularité ne doit pas être soumis à de strictes conditions (Jaeger/Walder/Kull/Kottmann, Bundesgesetz über Schuldbetreibung und Konkurs, 4 e éd., Zurich 1997, n. 3 ad art. 27 LP, p. 121). Il y a représentation professionnelle dès que le représentant est prêt à accepter des mandats d’un nombre indéterminé de personnes (ibid. ; CACI 18 avril 2012/176 c. 4b ; CPF 28 avril 2009/16 c. 2b). La liste des représentants professionnels figurant à l’art. 68 al. 2 CPC est exhaustive (Staehelin/Schweizer, op. cit., n. 7 ad art. art. 68 CPC, p. 563). Cette limitation suit un but de protection du public en matière de conduite du procès, le représentant professionnel ayant à conseiller et à soutenir les justiciables dans la poursuite de leurs intérêts subjectifs juridiquement protégés, tâche sans laquelle le citoyen ne pourrait très souvent pas faire valoir ses prétentions juridiques (cf. Bohnet, Droit des professions judiciaires, 2 e éd, 2010, p. 37 et références). Le canton de Vaud a fait usage de la faculté donnée par l’art. 68 al. 2 let. d CPC en édictant l’art. 36 al. 2 CDPJ (Code de droit privé judiciaire vaudois du 12 janvier 2010 RSV 211.01) qui dispose que les représentants des organisations représentatives de locataires ou de bailleurs, préalablement autorisées par le Tribunal cantonal, peuvent représenter les parties devant les commissions de conciliation en matière de baux, le Tribunal des baux et pour les causes relevant de l’art. 5 chiffre 30 CDPJ, soit les causes en expulsion du locataire pour défaut de paiement du loyer. Les actes accomplis par un représentant professionnel non compris dans la liste de l’art. 68 al. 2 CPC sont dénués d’effets, un délai devant être imparti à la partie pour corriger le vice (TF 4A_87/2012 du 10 avril 2012 c. 3.2.3 in Revue suisse de procédure civile [RSPC] 2012, p. 306 ; JT 2012 III 230 c. 3a/bb ; Staehelin/Schweizer, op. cit., nn. 25 et 26 ad art. 68 CPC, p. 567). En l’espèce, la procuration en faveur de Fiduciaire H.________ SA porte sur la gestion des immeubles de l’appelante et prévoit à ce titre tout pouvoir de représentation et de décision en relation avec les affaires relevant du droit du bail à loyer. Il ressort de cette procuration que Fiduciaire H.________ SA agit contre rémunération dans un nombre indéterminé de cas, partant qu’elle exerce une activité de représentation professionnelle au sens de l’art. 68 al. 2 CPC. N’étant pas au bénéfice d’une autorisation du Tribunal cantonal au sens de l’art. 36 al. 2 CDPJ, Fiduciaire H.________ SA ne pouvait, même au bénéfice de la procuration en cause, valablement déposer une requête d’expulsion pour l’appelante et Q.________ ne pouvait davantage la représenter valablement à l’audience. N’ayant pas fait usage du délai pour corriger le vice, l’appelante doit se voir opposer que les actes de sa représentante sont sans effets et, partant irrecevables, faute d’avoir été accomplis par un représentant professionnel figurant sur la liste de l’art. 68 al. 2 CPC.</w:t>
      </w:r>
    </w:p>
    <w:p>
      <w:r>
        <w:rPr>
          <w:b/>
        </w:rPr>
        <w:t>E. 4</w:t>
      </w:r>
    </w:p>
    <w:p>
      <w:r>
        <w:t>En conclusion, l’appel doit être rejeté en application de l’art. 312 al. 1 CPC et l’ordonnance confirmée. Vu le rejet de l’appel, les frais judiciaires de deuxième instance, fixés à 200 fr. (art. 62 al. 3 et 69 al. 1 TFJC [tarif du 28 septembre 2010 des frais judiciaires civils ; RSV 270.11.5]), doivent être mis à la charge de l’appelante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