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904 vom 19. November 2014</w:t>
      </w:r>
    </w:p>
    <w:p>
      <w:r>
        <w:t>VD Tribunal cantonal, 2014-11-19, FR</w:t>
      </w:r>
    </w:p>
    <w:p>
      <w:r>
        <w:rPr>
          <w:b/>
        </w:rPr>
        <w:t xml:space="preserve">Quelle: </w:t>
      </w:r>
      <w:r>
        <w:t>https://mcp.opencaselaw.ch/entscheid/vd_findinfo_HC___2014___904</w:t>
      </w:r>
    </w:p>
    <w:p>
      <w:r>
        <w:t>FR: VD_FINDINFO HC / 2014 / 904 du 19 novembre 2014</w:t>
      </w:r>
    </w:p>
    <w:p>
      <w:r>
        <w:t>IT: VD_FINDINFO HC / 2014 / 904 del 19 novembre 2014</w:t>
      </w:r>
    </w:p>
    <w:p>
      <w:pPr>
        <w:pStyle w:val="Heading2"/>
      </w:pPr>
      <w:r>
        <w:t>Regeste</w:t>
      </w:r>
    </w:p>
    <w:p>
      <w:r>
        <w:t>EXÉCUTION FORCÉE, BAIL À LOYER | 341 CPC (CH)</w:t>
      </w:r>
    </w:p>
    <w:p>
      <w:pPr>
        <w:pStyle w:val="Heading2"/>
      </w:pPr>
      <w:r>
        <w:t>Erwägungen</w:t>
      </w:r>
    </w:p>
    <w:p>
      <w:r>
        <w:rPr>
          <w:b/>
        </w:rPr>
        <w:t>E. 1</w:t>
      </w:r>
    </w:p>
    <w:p>
      <w:r>
        <w:t>L’appel n’est pas recevable contre les décisions du tribunal de l’exécution (art. 309 let. a CPC [Code de procédure civile du 19 décembre 2008 ; RS 272]), qui peuvent donc faire l’objet d’un recours (art. 319 let. a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 CREC 21 mars 2011/11 ; CREC 18 avril 2011/35), dans les dix jours à compter de la notification de la décision motivée (art. 321 al. 1 et 2 CPC). Interjeté en temps utile par une partie qui y a intérêt (art. 59 al. 2 let. a CPC), dans les dix jours à compter de la notification de la décision du 30 octobre 2014, les divers actes de recours des 6, 7, 8 et 10 novembre 2014 sont recevables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Selon l’art. 326 al. 1 CPC, les conclusions, les allégations de faits et les preuves nouvelles sont irrecevables. En l’espèce, la recourante a produit des pièces à l’appui de ses mémoires de recours. Dans la mesure où celles-ci ne figurent pas déjà au dossier de première instance, elles sont irrecevables.</w:t>
      </w:r>
    </w:p>
    <w:p>
      <w:r>
        <w:rPr>
          <w:b/>
        </w:rPr>
        <w:t>E. 3</w:t>
      </w:r>
    </w:p>
    <w:p>
      <w:r>
        <w:t>La recourante prétend que, dans son arrêt, « la Cour civile du Tribunal cantonal a déclaré des faits ne correspondant pas aux contenus des pièces produites », ce qui constituerait « une violation du Droit suisse dans la procédure qui a précédé la décision du 30 octobre 2014 ». En outre, elle invoque des problèmes d’ordre financiers, dont la Justice de paix serait responsable. 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 En l’espèce, la recourante ne soutient pas que des faits postérieurs à l’ordonnance ont éteint ou différé dans le temps son obligation de restituer les locaux en cause, ni que l’intimée aurait renoncé à l’exécution forcée. Par ailleurs, l’ordonnance d’expulsion du 1 er mai 2014 est aujourd’hui définitive, après l’arrêt rendu par la Cour d’appel civile, puis le rejet du recours par le Tribunal fédéral. La recourante ne peut donc, dans le cadre du présent recours, revenir sur le fond du litige et remettre en cause le caractère exécutoire de cette ordonnance. A cet égard, il y a lieu de rappeler que l’art. 257d CO (Code des obligations du 30 mars 1911 ; RS 220)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III 548 c. 4 ; TF du 27 février 1997, in Cahiers du bail 3/97, pp. 65 ss). c)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c.3b ; CREC 8 mai 2013/149 c. 3d ; CREC 15 janvier 2013/10 c. 3d ; Guignard, in Procédure spéciales vaudoises, 2008, n. 3 ad art. 21 aLPEBL [loi du 18 mai 1955 sur la procédure d’expulsion en matière de baux à loyer et à ferme, abrogée au 1 er janvier 2011], p. 203). En l’espèce, les arguments invoqués par la recourante ne démontrent pas que sa situation personnelle serait particulière au point de rendre disproportionnée l’exécution forcée fixée au 28 novembre 2014 et d’imposer l’octroi d’un sursis, étant précisé que la recherche d’un arrangement avec l’intimée pour que celle-ci octroie un tel sursis n’entre pas dans la compétence de la Cour de céans, ni du juge de l’exécution. Quant à la pénurie de logements, elle ne fait pas obstacle à l’exécution forcée dès lors que le bail a été résilié pour le 31 janvier 2014 et que la recourante aura ainsi bénéficié d’un délai de plus de 10 mois pour se reloger. Au surplus, l’exécution forcée a été fixée dans un délai de plus d’un mois, ce qui est conforme à la jurisprudence de la Cour de céans. Le principe de proportionnalité a donc été respecté dans le cadre de la procédure d’exécution.</w:t>
      </w:r>
    </w:p>
    <w:p>
      <w:r>
        <w:rPr>
          <w:b/>
        </w:rPr>
        <w:t>E. 4</w:t>
      </w:r>
    </w:p>
    <w:p>
      <w:r>
        <w:t>En définitive, le recours, mal fondé, doit être rejeté en application de l’art. 322 al. 1 CPC et la décision d’exécution forcée confirmée. Les frais judiciaires de deuxième instance, arrêtés à 100 fr. (art. 69 al. 1 TFJC [tarif des frais judiciaires civils du 28 septembre 2010 ; RSV 270.11.5]), sont mis à la charge de la recourante, qui succombe (art. 106 al. 1 CPC). Il n’y a pas lieu à l’allocation de dépens, dès lors que l’intimée n’a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G.________. IV. L’arrêt est exécutoire. Le président :               Le greffier : Du L'arrêt qui précède, dont la rédaction a été approuvée à huis clos, est notifié en expédition complète, par l'envoi de photocopies, à : ‑ Mme G.________, ‑ M. Jean-David Pelot, avocat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