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900 vom 18. September 2014</w:t>
      </w:r>
    </w:p>
    <w:p>
      <w:r>
        <w:t>VD Tribunal cantonal, 2014-09-18, FR</w:t>
      </w:r>
    </w:p>
    <w:p>
      <w:r>
        <w:rPr>
          <w:b/>
        </w:rPr>
        <w:t xml:space="preserve">Quelle: </w:t>
      </w:r>
      <w:r>
        <w:t>https://mcp.opencaselaw.ch/entscheid/vd_findinfo_HC___2014___900</w:t>
      </w:r>
    </w:p>
    <w:p>
      <w:r>
        <w:t>FR: VD_FINDINFO HC / 2014 / 900 du 18 septembre 2014</w:t>
      </w:r>
    </w:p>
    <w:p>
      <w:r>
        <w:t>IT: VD_FINDINFO HC / 2014 / 900 del 18 settembre 2014</w:t>
      </w:r>
    </w:p>
    <w:p>
      <w:pPr>
        <w:pStyle w:val="Heading2"/>
      </w:pPr>
      <w:r>
        <w:t>Regeste</w:t>
      </w:r>
    </w:p>
    <w:p>
      <w:r>
        <w:t>SUSPENSION DE LA PROCÉDURE, PROCÉDURE PÉNALE | 126 al. 1 CPC (CH), 126 CPC (CH)</w:t>
      </w:r>
    </w:p>
    <w:p>
      <w:pPr>
        <w:pStyle w:val="Heading2"/>
      </w:pPr>
      <w:r>
        <w:t>Erwägungen</w:t>
      </w:r>
    </w:p>
    <w:p>
      <w:r>
        <w:rPr>
          <w:b/>
        </w:rPr>
        <w:t>E. 1</w:t>
      </w:r>
    </w:p>
    <w:p>
      <w:r>
        <w:t>a) Le tribunal conduit le procès et prend les décisions d’instruction nécessaires à une préparation et à une conduite rapides de la procédure (art. 124 al. 1 CPC [Code de procédure civile du 19 décembre 2010, RS 272]). Il peut ordonner la suspension de la procédure si des motifs d’opportunité le commandent (art. 126 al. 1 CPC). L’art. 126 al. 2 CPC prévoit que l’ordonnance de suspension de la procédure peut faire l’objet d’un recours au sens de l’art. 319 let. b ch. 1 CPC. Les ordonnances de suspension devant être considérées comme des décisions d’instruction (Jeandin, op. cit., n. 18 ad art. 319 CPC), le recours, écrit et motivé, doit être déposé dans le délai de dix jours de l’art. 321 al. 2 CPC (CREC 14 juin 2013/205 c. 2.2). En l’espèce, le recours a été formé en temps utile par une partie qui y a un intérêt digne de protection (art. 59 al. 2 let. a CPC).</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2e éd., 2010, n. 2508, p. 452). b) Les conclusions nouvelles, les allégations de faits et les preuves nouvelles sont irrecevables (art. 326 al. 1 CPC).</w:t>
      </w:r>
    </w:p>
    <w:p>
      <w:r>
        <w:rPr>
          <w:b/>
        </w:rPr>
        <w:t>E. 3</w:t>
      </w:r>
    </w:p>
    <w:p>
      <w:r>
        <w:t>a) La recourante fait valoir que l’issue de la procédure pénale serait de nature à influer de façon déterminante sur la procédure civile, puisqu’elle a pour objet d’éventuelles infractions de détérioration de données et de concurrence déloyale commises par l’intimé à son préjudice. Elle relève en outre que sa volonté de compenser les créances réciproques étaient à tous le moins implicite, qu’elle pourrait encore l’exprimer à l’audience et qu’elle la fait valoir ici en tant que besoin. b) Selon l’art. 126 al. 1 CPC, le tribunal peut ordonner la suspension de la procédure si des motifs d’opportunité le commandent. La procédure peut notamment être suspendue lorsque la décision dépend du sort d’un autre procès. Cette suspension doit correspondre à un vrai besoin (FF 6841, Message relatif au CPC du 28 juin 2006, spéc. p. 6916; Haldy, CPC commenté, Bâle 2011, n. 5 ss ad art. 126 CPC, p. 512). La doctrine relève qu’en l’absence de précision du texte légal, il faut considérer que la suspension peut intervenir d’office ou sur requête en tout état de cause, savoir dès la conciliation et jusque et y compris en instance de recours (Haldy, op. cit., n. 8 ad art. 126 CPC, p. 512), et quelle que soit la procédure applicable (Staehelin, Kommentar zur Schweizerischen Zivilprozessordnung, Sutter-Somm/Hasenböhler/Leuenberger Hrsg, 2010, n. 4 ad art. 126 CPC, p. 853). La suspension doit en outre être compatible avec le principe constitutionnel de célérité (art. 29 al. 1 Cst.; ATF 135 III 127 c. 3.4, JT 2011 II 402; Haldy, op. cit., n. 6 ad art. 126 CPC, p. 512). Certains auteurs, se référant à la jurisprudence susmentionnée, considèrent que la suspension doit être exceptionnelle, qu’en cas de doute, le principe de célérité doit l’emporter sur les intérêts contraires (Staehelin, loc. cit.) et que le législateur a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Schweizerische Zivilprozessordnung, Kommentar, Brunner/Gasser/Schwander Hrsg, 2011, n. 17 ad art. 126 CPC, p. 715). Bornatico considère que l’examen de l’opportunité d’une suspension suppose une certaine retenue et la prise en compte non seulement du droit de saisine et du principe de célérité, mais également du type de procédure en question (Bornatico, Basler Kommentar, Schweizerische Zivilprozessordnung, 2010, n. 10 ad art. 126 CPC, p. 635). La suspension de la procédure peut être de durée déterminée. Dans ce cas elle prend fin automatiquement avec l’écoulement de la date qui y est prévue. Elle peut être aussi de durée indéterminée, ce qui a pour conséquence qu’elle ne peut prendre fin que par une décision (Kaufmann, op. cit., n. 13 ad art. 126 CPC, p. 715; Staehelin, op. cit., n. 6 ad art. 126 CPC, p. 854). Une suspension « jusqu’à droit connu sur une procédure » doit être considérée comme étant de durée indéterminée car le terme n’est alors pas certain pour les parties et ne leur est pas sans autre connu (Staehelin, loc. cit.). Selon l’ancien droit de procédure cantonal (art. 124 al. 1 CPC-VD), lorsqu'une partie fondait ses prétentions sur un fait qui est l'objet d'une procédure pénale, la suspension de l'instance civile n'était ordonnée que si le fait était de nature à influer sur le résultat de la contestation et que cette mesure paraissait indispensable. La suspension prévue par cette disposition répondait à l'idée que la preuve de certains faits sera facilitée par la procédure pénale, au cours de laquelle des faits peuvent être précisés ou des éléments nouveaux révélés (JT 1999 III 66 c. 3a; JT 1974 III 78). Pour juger du caractère indispensable de la suspension, il y avait lieu, selon la jurisprudence rendue en application de l’art. 124 CPC-VD, d'examiner, en particulier, si elle était opportune au regard des prescriptions des art. 53 CO (Code des obligations du 30 mars 1911, RS 220) et si elle était justifiée par des circonstances impérieuses (JT 1999 III 66 c. 3a et les réf. citées; Poudret/Haldy/Tappy, Code de procédure civile vaudois commenté, 3 e éd., n. 2 ad art. 124 CPC-VD). Cette question ne saurait être résolue abstraitement, le juge devant examiner dans chaque cas d'espèce si la suspension s'impose absolument au regard de l'état d'avancement de l'instance civile et de la nature des faits qui font l'objet de la procédure pénale. c) En l’espèce, c’est à bon droit que le premier juge a refusé de suspendre la cause prud’homale en raison de l’enquête pénale. En effet, la suspension n’a ici aucun caractère indispensable : les prétentions du demandeur portant sur le paiement d’un solde de salaires et de vacances concernent des faits distincts de ceux examinés dans le cadre de la procédure pénale et l’éventuel dommage causé par le travailleur à son employeur devra être apprécié selon les obligations et la responsabilité énoncées aux art. 321a et 321e CO, indépendamment de la réalisation éventuelle d’une infraction. Ainsi, même si l’examen et l’établissement de certains faits sont communs aux deux procédures, il n’est pas nécessaire d’attendre l’issue de l’enquête pénale pour instruire la cause civile. Par ailleurs, le recourant n’a pas invoqué la compensation devant le juge de première instance. En tant qu’il s’agit d’une question de fait (cf. TF 4C.35/2004 du 27 avril 2004, c. 2.2.2), la déclaration de compensation qu’il a faite dans son acte de recours, pour autant que besoin, est un fait nouveau irrecevable en vertu de l’art. 326 al. 1 CPC.</w:t>
      </w:r>
    </w:p>
    <w:p>
      <w:r>
        <w:rPr>
          <w:b/>
        </w:rPr>
        <w:t>E. 4</w:t>
      </w:r>
    </w:p>
    <w:p>
      <w:r>
        <w:t>En définitive, le recours doit être rejeté et l’ordonnance confirmée. Les frais judiciaires de deuxième instance, arrêtés à 400 fr. (art. 69 al. 1 TFJC [tarif des frais judiciaires civils du 28 septembre 2010 ; RSV 270.11.5]), sont mis à la charge de la recourante, qui succombe (art. 106 al. 1 CPC). Il n’y a pas matière à l’allocation de dépens, l’intimé n’ayant pas été invité à se déterminer sur le recours. Par ces motifs, la Chambre des recours civile du Tribunal cantonal, statuant à huis clos, en application de l'art. 322 al. 1 CPC, prononce : I. Le recours est rejeté. II. La décision est confirmée. III. Les frais judiciaires de deuxième instance, arrêtés à 400 fr. (quatre cents francs), sont mis à la charge de la recourante X.________ Sàrl. IV. L’arrêt motivé est exécutoire. Le président :               La greffière : Du 23 septembre 2014 Le dispositif de l'arrêt qui précède est communiqué par écrit aux intéressés. La greffière : Du L'arrêt qui précède, dont la rédaction a été approuvée à huis clos, est notifié en expédition complète, par l'envoi de photocopies, à : ‑ Me Jean-Emmanuel Rossel (pour X.________ Sàrl), ‑ Me Guy Longchamp (pour U.________).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