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899 vom 12. November 2014</w:t>
      </w:r>
    </w:p>
    <w:p>
      <w:r>
        <w:t>VD Tribunal cantonal, 2014-11-12, FR</w:t>
      </w:r>
    </w:p>
    <w:p>
      <w:r>
        <w:rPr>
          <w:b/>
        </w:rPr>
        <w:t xml:space="preserve">Quelle: </w:t>
      </w:r>
      <w:r>
        <w:t>https://mcp.opencaselaw.ch/entscheid/vd_findinfo_HC___2014___899</w:t>
      </w:r>
    </w:p>
    <w:p>
      <w:r>
        <w:t>FR: VD_FINDINFO HC / 2014 / 899 du 12 novembre 2014</w:t>
      </w:r>
    </w:p>
    <w:p>
      <w:r>
        <w:t>IT: VD_FINDINFO HC / 2014 / 899 del 12 novembre 2014</w:t>
      </w:r>
    </w:p>
    <w:p>
      <w:pPr>
        <w:pStyle w:val="Heading2"/>
      </w:pPr>
      <w:r>
        <w:t>Regeste</w:t>
      </w:r>
    </w:p>
    <w:p>
      <w:r>
        <w:t>VALEUR LITIGIEUSE, CÉDULE HYPOTHÉCAIRE DE REGISTRE, CÉDULE HYPOTHÉCAIRE SUR PAPIER | 91 al. 2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Lorsque l’action ne porte pas sur le paiement d’une somme d’argent déterminée, le tribunal détermine la valeur litigieuse si les parties n’arrivent pas à s’entendre sur ce point ou si la valeur litigieuse qu’elles avancent est manifestement erronée (art. 91 al. 2 CPC). L'appel, écrit et motivé, est introduit dans les trente jours à compter de la notification de la décision motivée (art. 311 CPC). En l’espèce, le litige ne porte pas sur le paiement d’une somme déterminée, de sorte qu’il appartient au juge de déterminer la valeur litigieuse. A cet égard, il convient de relever que les conclusions au fond de l’appelante en appel sont identiques à celles de première instance. Le premier juge ayant estimé qu’elles avaient une valeur supérieure à 10'000 fr., il n’y a pas lieu de s’en écarter sur la base d’un examen prima facie . Formé en outre en temps utile,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L’appelante fait grief à la décision entreprise de retenir une valeur litigieuse erronée. Elle considère que la valeur du litige, qui a pour objet la restitution de la cédule hypothécaire sur la base de l’art. 400 CO (Code des obligations du 30 mars 1911 ; RS 220), doit se calculer en fonction de la valeur intrinsèque de la cédule hypothécaire, abstraction faite de toute éventuelle créance qui y serait rattachée. Cette valeur serait soit nulle, si l’on considère que la cédule hypothécaire n’est qu’un simple morceau de papier sans valeur marchande, soit elle équivaudrait aux coûts de sa constitution, ce qui correspondrait à l’émolument notarial de constitution de 1'850 fr. (1 pour mille de la valeur garantie en application de l’art. 20 al. 3 TNo [tarif des honoraires dus aux notaires pour des opérations ministérielles du 11 décembre 1996 ; RSV 178.11.2]). Dans tous les cas, cette valeur serait inférieure à 10'000 francs. a) Comme rappelé plus haut, lorsque l’action ne porte pas sur le paiement d’une somme d’argent déterminée, le tribunal détermine la valeur litigieuse si les parties n’arrivent pas à s’entendre sur ce point ou si la valeur litigieuse qu’elles avancent est manifestement erronée (art. 91 al. 2 CPC). La valeur litigieuse est la valeur estimée en francs suisses de l’objet du litige ( Streitgegenstand ), qu’on peut définir comme le ou les rapports de droit sur lesquels le juge doit statuer, le ou les droits prétendus dans le procès tels qu’ils sont définis par les conclusions des parties (Tappy, CPC commenté, 2011, n. 29 ad art. 91 CPC). b) Selon la jurisprudence, lorsque les parties conviennent – par contrat de fiducie – que la cédule hypothécaire est remise au créancier en propriété à titre fiduciaire aux fins de garantie (garantie fiduciaire ; Sicherungsübereignung ), il n’y a pas de novation de la créance garantie (ATF 136 III 288 c. 3.1 ; 134 III 71 c. 3 et les réf.) ; la créance incorporée dans la cédule se juxtapose à la créance garantie en vue de faciliter le recouvrement (ATF 119 III 105 c. 2a in fine ). On distingue alors la créance abstraite (ou créance cédulaire) garantie par le gage immobilier, incorporée dans la cédule hypothécaire, et la créance causale (ou créance garantie ou encore créance de base) résultat de la relation de base, en général du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 la créance causale doit faire l’objet d’une poursuite ordinaire (ATF 136 III 288 c. 3.1 et les réf.). Ces considérations demeurent valables sous le nouveau droit, qui présume toutefois la remise de la cédule à titre de garantie fiduciaire (art. 842 al. 2 CC), alors que l’ancien droit présumait la remise à titre de garantie directe, avec novation (art. 855 al. 1 aCC [Code civil suisse du 10 décembre 1907 en vigueur jusqu’au 31 décembre 2011 ; RS 210]) (ATF 140 III 180 c. 5.1.1). Le créancier cumule ainsi la créance cédulaire et la créance de base ; mais naturellement, il ne peut exiger que le paiement du montant qui lui est effectivement dû (en vertu de la créance de base) (ATF 136 III 288 ; Foëx, Le nouveau droit des cédules hypothécaires, in JdT 2012 II p. 3 ss, p. 5). Cela ressort précisément de l’art. 842 al. 3 CC, qui indique que le débiteur reste libre, s’agissant de la créance qui résulte de la cédule, de faire valoir les exceptions personnelles issues du rapport de base à l’égard du créancier et de ses successeurs, s’ils ne sont pas de bonne foi. c) En l’espèce, l’appelante indique ce qui suit à l’appui de son appel : « L’action ouverte par l’appelante à l’encontre de l’intimé visait à récupérer une cédule hypothécaire confiée à ce dernier en sa qualité de mandataire, dans le but de négocier un prêt-relais avec une banque, et non pour garantir une quelconque créance dont il pourrait disposer contre l’appelante (cf. requête en conciliation, p. 3). La créance initiale de CHF 1'850'000.00 garantie par la cédule hypothécaire avait été entièrement remboursée à UBS (cf. requête en conciliation, p. 3). Ainsi, la créance garantie par la cédule hypothécaire était éteinte au moment où elle a été confiée à l’intimé. » Or, ces faits sont précisément litigieux et devront être dûment établis dans le cadre du procès à venir. Il s’ensuit que la valeur litigieuse, au regard des créances potentielles liées au papier-valeur litigieux, est nécessairement supérieure à 10'000 francs. On aboutit par ailleurs au même résultat si l’on raisonne par analogie avec le système appliqué dans le cadre de l’estimation de la valeur litigieuse en matière de valeur résiduelle d’actions – étant observé qu’au même titre qu’une action, la cédule hypothécaire est un papier-valeur, soit un titre qui constate une créance, sauf à dire que la cédule hypothécaire incorpore à la fois la créance et le droit de gage immobilier, qui en est l’accessoire (Denys, Cédule hypothécaire et mainlevée, in JdT 2008 II 3). Lorsqu’il s’agit de déterminer la valeur litigieuse d’une action tendant à déterminer la valeur résiduelle d’actions, la valeur litigieuse correspond à la valeur vénale des actions (CACI 27 septembre 2013/507). Or, en l’espèce, la valeur marchande de la cédule hypothécaire peut être estimée à un montant supérieur à 10'000 fr., l’appelante reconnaissant elle-même réclamer ce document « dans le but de négocier un prêt-relais avec une banque » (appel p. 2). Ceci démontre que le titre a encore une valeur marchande, contrairement à ce que l’appelante prétend. Si tel n’était pas le cas, on peut se demander pour quelle raison l’appelante serait si insistante à vouloir le récupérer. La lecture de la pièce 5 annexée à la requête en conciliation tend d’ailleurs à confirmer ce qui précède, même s’il appartiendra au juge du fond d’estimer la valeur probante de ce titre dans le cadre du litige à trancher. Quant au calcul fondé sur l’émolument notarial de constitution, proposé en seconde alternative par l’appelante, il intervient en contradiction avec la première alternative proposée. Un tel calcul ne se fonde du reste sur aucune pratique établie – l’appelante ne le démontre en tout cas pas – et ne correspond pas à la valeur du titre au regard des créances potentielles qui y sont liées (cf. supra). C’est donc à juste titre que le premier juge a déclaré la requête irrecevable, la valeur litigieuse étant supérieure à 10'000 fr. (art. 113 al. 1 bis LOJV).</w:t>
      </w:r>
    </w:p>
    <w:p>
      <w:r>
        <w:rPr>
          <w:b/>
        </w:rPr>
        <w:t>E. 5</w:t>
      </w:r>
    </w:p>
    <w:p>
      <w:r>
        <w:t>Au vu de ce qui précède, l’appel doit être rejeté et la décision confirmée. Les frais judiciaires de deuxième instance, arrêtés à 618 fr. (art. 62 TFJC [tarif des frais judiciaires civils du 28 septembre 2010 ; RSV 270.11.5]), sont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