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895 vom 22. Oktober 2014</w:t>
      </w:r>
    </w:p>
    <w:p>
      <w:r>
        <w:t>VD Tribunal cantonal, 2014-10-22, FR</w:t>
      </w:r>
    </w:p>
    <w:p>
      <w:r>
        <w:rPr>
          <w:b/>
        </w:rPr>
        <w:t xml:space="preserve">Quelle: </w:t>
      </w:r>
      <w:r>
        <w:t>https://mcp.opencaselaw.ch/entscheid/vd_findinfo_HC___2014___895</w:t>
      </w:r>
    </w:p>
    <w:p>
      <w:r>
        <w:t>FR: VD_FINDINFO HC / 2014 / 895 du 22 octobre 2014</w:t>
      </w:r>
    </w:p>
    <w:p>
      <w:r>
        <w:t>IT: VD_FINDINFO HC / 2014 / 895 del 22 ottobre 2014</w:t>
      </w:r>
    </w:p>
    <w:p>
      <w:pPr>
        <w:pStyle w:val="Heading2"/>
      </w:pPr>
      <w:r>
        <w:t>Regeste</w:t>
      </w:r>
    </w:p>
    <w:p>
      <w:r>
        <w:t>PROTECTION DE L'UNION CONJUGALE, VISITE | 273 al.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 2 let. a CPC) et portant sur des conclusions non patrimoniales, le présent 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L’appelant fait valoir que le premier juge n’a pas pleinement pris en compte l’intérêt des enfants à voir accorder à leur père un droit de visite non seulement durant les week-end, mais également en semaine, pendant un jour et deux nuits. Il se réfère à l’accord de son employeur s’agissant d’une réduction à 80% de son taux d’activité. b) Lorsque des époux ont des enfants mineurs, le juge règle les relations personnelles entre le parent non gardien et l’enfant en se basant sur les dispositions régissant les effets de la filiation (art. 273 ss CC [Code civil suisse du 10 décembre 1907 ; RS 210]). Aux termes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L’importance et le mode d’exercice des relations personnelles doivent être appropriés à la situation, autrement dit tenir équitablement compte des circonstances particulières du cas. Le bien de l’enfant est le facteur d’appréciation le plus important (ATF 127 II 295 c. 4a) et les éventuels intérêts des parents sont à cet égard d’importance secondaire (ATF 130 I 585). c) Contrairement à ce que semble soutenir l’appelant, le premier juge n’a pas seulement prévu l’exercice de son droit de visite pour le week-end, mais a également fixé une période – certes courte en raison de l’activité professionnelle de l’appelant à plein temps – en milieu de semaine, du mercredi soir au jeudi matin, cela à l’évidence dans le but de préserver au mieux le lien paternel, compte tenu de l’âge des enfants. On ne distingue donc pas de facteur d’appréciation important que le premier juge aurait omis de prendre en considération. A cela s’ajoute que l’attestation de l’employeur dont se prévaut l’appelant n’a pas la valeur probante qu’il lui confère. On constate ainsi que la réduction du taux d’activité que l’appelant a demandée à son employeur se situe entre 80 et 90% et que son employeur s’est déclaré d’accord de l’envisager sur le principe, tout en précisant que les modalités exactes devaient encore être définies pour tenir compte des nécessités professionnelles (« business requirements »). On peut ainsi supposer que le cahier des charges de l’appelant ne sera en réalité pas allégé dans la mesure de la diminution de son taux d’activité. Or, compte tenu du fait qu’il devra exercer son droit de visite sur trois enfants en bas âge, une disponibilité complète serait nécessaire durant les jours de semaine du droit de visite. C’est donc à bon droit que le premier juge a considéré que l’appelant n’avait pas les disponibilités nécessaires pour s’occuper de ses enfants selon les modalités du droit de visite auxquelles il prétend.</w:t>
      </w:r>
    </w:p>
    <w:p>
      <w:r>
        <w:rPr>
          <w:b/>
        </w:rPr>
        <w:t>E. 4</w:t>
      </w:r>
    </w:p>
    <w:p>
      <w:r>
        <w:t>En définitive, l’appel doit être rejeté. Les frais judiciaires de deuxième instance, arrêtés â 600 fr. (art 65 al. 2 TFJC [tarif des frais judiciaires civils du 28 septembre 2010 ; RSV 270.11.5]), sont mis à la charge de l’appelant qui succombe (art. 106 al.1 CPC). Il n’a pas matière à l’allocation de dépens de deuxième instance.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A.V.________. IV. L’arrêt motivé est exécutoire. Le juge délégué : La greffière : Du 23 octobre 2014 Le dispositif de l'arrêt qui précède est communiqué par écrit aux intéressés. La greffière : Du L'arrêt qui précède, dont la rédaction a été approuvée à huis clos, est notifié en expédition complète, par l'envoi de photocopies, à : ‑ Me Olivier Freymond (pour A.V.________), ‑ Me Patricia Michellod (pour K.V.________).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