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884 vom 18. September 2014</w:t>
      </w:r>
    </w:p>
    <w:p>
      <w:r>
        <w:t>VD Tribunal cantonal, 2014-09-18, FR</w:t>
      </w:r>
    </w:p>
    <w:p>
      <w:r>
        <w:rPr>
          <w:b/>
        </w:rPr>
        <w:t xml:space="preserve">Quelle: </w:t>
      </w:r>
      <w:r>
        <w:t>https://mcp.opencaselaw.ch/entscheid/vd_findinfo_HC___2014___884</w:t>
      </w:r>
    </w:p>
    <w:p>
      <w:r>
        <w:t>FR: VD_FINDINFO HC / 2014 / 884 du 18 septembre 2014</w:t>
      </w:r>
    </w:p>
    <w:p>
      <w:r>
        <w:t>IT: VD_FINDINFO HC / 2014 / 884 del 18 settembre 2014</w:t>
      </w:r>
    </w:p>
    <w:p>
      <w:pPr>
        <w:pStyle w:val="Heading2"/>
      </w:pPr>
      <w:r>
        <w:t>Regeste</w:t>
      </w:r>
    </w:p>
    <w:p>
      <w:r>
        <w:t>DIVORCE, GARDE ALTERNÉE, OBLIGATION D'ENTRETIEN, MOTIVATION DE LA DEMANDE | 125 al. 1 CC, 133 CC, 276 CC, 285 al. 1 CC, 308 al. 2 CPC (CH), 311 al. 1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dépasse 10'000 fr. (art. 308 al. 2 CPC).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contre une décision finale de première instance rendue dans une cause patrimoniale dont la valeur litigieuse est supérieure à 10’000 francs. L'écriture du 3 septembre 2014 a également été déposée dans le délai d'appel, au contraire de celle du 12 septembre 2014, qui est dès lors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 En l'espèce, l'appelant a produit le 5 septembre 2014 un commandement de payer qui lui avait été notifié le 3 septembre précédent par l'Office des poursuites du district de Lausanne. L'appelant indique qu'il s'agit du renouvellement d'une poursuite en rapport avec le crédit de la maison achetée en Colombie. Cette question relève de la liquidation du régime matrimonial. Or l'appelant n'a pas dirigé son appel contre le chiffre XII du dispositif concernant précisément la liquidation du régime matrimonial, de sorte que cette pièce n'a aucune utilité pour le jugement de la présente cause.</w:t>
      </w:r>
    </w:p>
    <w:p>
      <w:r>
        <w:rPr>
          <w:b/>
        </w:rPr>
        <w:t>E. 3</w:t>
      </w:r>
    </w:p>
    <w:p>
      <w:r>
        <w:t>L'appelant requiert essentiellement l'admission des conclusions de sa demande, soit qu'une garde alternée sur les enfants soit instaurée, que chaque partie assume son entretien propre et qu'il contribue à l'entretien de ses enfants par le versement d'une pension mensuelle de 600 fr. jusqu’à ce que l’enfant ait atteint l’âge de 10 ans révolus, de 625 fr. dès lors et jusqu’à 15 ans révolus, puis de 650 fr. jusqu’à la majorité ou l’achèvement de la formation professionnelle.</w:t>
      </w:r>
    </w:p>
    <w:p>
      <w:r>
        <w:rPr>
          <w:b/>
        </w:rPr>
        <w:t>E. 3.1</w:t>
      </w:r>
    </w:p>
    <w:p>
      <w:r>
        <w:t>Selon l’art. 311 al. 1 CPC, l’appel doit être motivé, soit démontrer le caractère erroné de la motivation attaquée.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5A_209/2014 du 2 septembre 2014 c. 4.2.1; TF 4A_101/2014 du 26 juin 2014 c. 3.3; TF 4A_651/2012 du 7 février 2013 c. 4.2). Dès lors que l'appel doit être motivé – la motivation consistant à indiquer sur quels points et en quoi la décision attaquée violerait le droit et sur quels points et en quoi les faits auraient été constatés de manière inexacte ou incomplète par le premier juge –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CACI 8 février 2012/61).</w:t>
      </w:r>
    </w:p>
    <w:p>
      <w:r>
        <w:rPr>
          <w:b/>
        </w:rPr>
        <w:t>E. 3.2</w:t>
      </w:r>
    </w:p>
    <w:p>
      <w:r>
        <w:t>En l'espèce, dans un document prolixe et confus, l'appelant énumère des faits et des dispositions constitutionnelles prônant les valeurs de justice, d'égalité, de liberté, de respect et de dignité, tout en faisant valoir "l'excellence de sa paternité". Cela étant, il n'explique pas en quoi les premiers juges auraient fait une mauvaise application du droit ou constaté les faits de manière inexacte. Il est dès lors douteux que l'appel soit recevable. A supposer qu'il le soit, il devrait de toute manière être rejeté pour les motifs exposés ci-après.</w:t>
      </w:r>
    </w:p>
    <w:p>
      <w:r>
        <w:rPr>
          <w:b/>
        </w:rPr>
        <w:t>E. 4.1</w:t>
      </w:r>
    </w:p>
    <w:p>
      <w:r>
        <w:t>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Toujours à capacités équivalentes, la disponibilité d'un parent à collaborer avec l'autre pour ce qui a trait à l'enfant jouera un rôle déterminant (RDT 2008 p. 354). Le juge appelé à se prononcer sur le fond qui, par son expérience en la matière, connaît mieux les parties et le milieu dans lequel l’enfant est amené à vivre, dispose d’un large pouvoir d’appréciation (ATF 117 II 353 c. 2; TF 5A_860/2009 du 26 mars 2010 c. 3.1).</w:t>
      </w:r>
    </w:p>
    <w:p>
      <w:r>
        <w:rPr>
          <w:b/>
        </w:rPr>
        <w:t>E. 4.2</w:t>
      </w:r>
    </w:p>
    <w:p>
      <w:r>
        <w:t>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 De fait, ensuite de la modification du Code civil suisse (autorité parentale) adoptée le 21 juin 2013 par l’Assemblée fédérale (FF 2013 4229), le nouveau droit ne prévoit plus, comme l’actuel art. 133 al. 3 CC, la nécessité d’une requête conjointe des père et mère pour le maintien de l’exercice en commun de l’autorité parentale après divorce, mais prévoit que le juge, lorsqu’il règle les droits et les devoirs des père et mère, tient compte de toutes les circonstances importantes pour le bien de l’enfant, prenant en considération une éventuelle requête commune des parents et, autant que possible, l’avis de l’enfant (art. 133 al. 2 2 e phrase révisé CC), précisant que dans le cadre d’une procédure de divorce ou d’une procédure de protection de l’union conjugale, le juge confie à l’un des parents l’autorité parentale exclusive si le bien de l’enfant le commande (art. 298 al. 1 révisé CC).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(Juge délégué CACI 25 juillet 2013/378; Juge délégué CACI 10 octobre 2013/537).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 Lorsque le régime de garde alternée ne peut être maintenu et qu’il s’agit d’attribuer la garde à l’un ou l’autre des parents,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w:t>
      </w:r>
    </w:p>
    <w:p>
      <w:r>
        <w:rPr>
          <w:b/>
        </w:rPr>
        <w:t>E. 4.3</w:t>
      </w:r>
    </w:p>
    <w:p>
      <w:r>
        <w:t>En l'espèce, les premiers juges ont constaté que l'intimée s'était occupée des enfants B.N.________ et C.N.________ de façon prépondérante, à tout le moins pendant une partie de la séparation, et que l'appelant, sous prétexte de faire valoir ses droits et de réclamer une garde partagée, en avait oublié le principe fondamental de l'intérêt des enfants: il avait refusé d'exercer son droit de visite pendant de longs mois et d'appeler lui-même les enfants. Les premiers juges ont rappelé que les parties avaient convenu initialement (par convention de mesures protectrices de l'union conjugale passée le 22 mars 2010) une garde alternée de deux semaines par mois sur B.N.________ et une semaine par mois sur C.N.________ compte tenu de son jeune âge à ce moment-là, avec une alternance des week-ends chez chaque parent, mais que cette garde n'avait pas fonctionné: dès le mois d'août 2010, le père n'avait plus exercé son droit de visite sur ses enfants que de manière sporadique, indiquant qu'il refuserait d'exercer son droit de visite tant qu'il n'aurait pas obtenu une décision de garde partagée. Ainsi, les premiers juges ont considéré que, si ses qualités de père et son amour pour ses enfants n'étaient pas niés, l'appelant faisait passer son intérêt propre à obtenir une décision conforme à ses souhaits avant celui de ses enfants à maintenir un contact régulier avec leur père. Fondés sur ce qui précède, ils ont estimé qu'il convenait de privilégier la stabilité du cadre socio-affectif et la continuité de l'action éducative, nécessaires à un développement harmonieux des mineurs, et ont attribué la garde à la mère. La motivation des premiers juges est pertinente et adéquate. Le fait d'être un excellent père, ressassé par l'appelant dans son écriture, n'est pas en contradiction avec l'octroi du droit de garde exclusivement à la mère. Occupé par son combat judiciaire en vue d'une garde alternée, considérée comme seule juste et conforme à ses conceptions, l'appelant en est venu à négliger l'intérêt – primordial et principal – de ses enfants à entretenir des relations personnelles régulières avec lui et à faire passer ses intérêts propres avant ceux de ses enfants. Lorsque les premiers juges ont statué, l'appelant n'avait pas revu ses enfants depuis février 2013, sauf à une reprise en novembre 2013. Or, la garde alternée avait déjà été refusée par décisions successives de première et deuxième instance des 23 mars, 22 septembre et 25 novembre 2011, au motif notamment que les enfants avaient besoin de stabilité et que le père s'était désinvesti de son rôle. Nonobstant ces décisions, l'appelant n'a pas modifié son comportement en vue d'entretenir des relations régulières avec ses enfants. Dans ces conditions, une garde alternée, qui ne présuppose certes plus l'accord des deux parents, mais des circonstances objectives permettant de la mettre en place, ne peut être prononcée. Elle supposerait d'une part une capacité de coopérer entre les parents, ce qui n'apparaît clairement pas possible au vu de la rigidité manifestée par l'appelant et, d'autre part, l'existence d'une relation régulière des enfants avec leur père, ce qui fait défaut en l'état. Partant, la solution adoptée par les premiers juges s'agissant du droit de garde doit être confirmée, de même que la fixation d'un droit de visite usuel en faveur du père.</w:t>
      </w:r>
    </w:p>
    <w:p>
      <w:r>
        <w:rPr>
          <w:b/>
        </w:rPr>
        <w:t>E. 5</w:t>
      </w:r>
    </w:p>
    <w:p>
      <w:r>
        <w:t>e éd., 2014, n° 1076, pp. 712-713 ; TF 5A_178/2008 du 23 avril 2008 c. 3.3 et réf. citées ; TF 5A_84/2007 du 18 septembre 2007 c. 5.1, reproduit in Revue du droit de la tutelle [RDT] 2007, p. 299). Ces critères s’appliquent à tous les enfants mineurs, indépendamment de l’état civil de leurs parents, à savoir que ceux-ci soient mariés ou non, séparés ou divorcés. Ces pourcentages ne valent en général que si le revenu du débiteur se situe entre 4’500 fr. à 6’000 fr. par mois (CACI 29 juillet 2014/235).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 TF 5A_178/2008 du 23 avril 2008 c. 3.3). Les taux précités s’entendent toutefois pour des enfants en bas âge, de sorte qu’il se justifie d’augmenter les pensions lorsque les enfants sont plus âgés (par ex. CREC Il 30 janvier 2006/116 c. 6d et les réf. citées). L’obligation d’entretien trouve sa limite dans la capacité contributive du débiteur d’entretien, en ce sens que le minimum vital de celui-ci doit être préservé (ATF 137 III 59 c. 4.2.1 ; 135 I 66 c. 2; 126 I 353 c. la/aa ;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Il s'agit d'inciter la personne à réaliser le revenu qu'elle est en mesure de se procurer et dont on peut raisonnablement exiger qu'elle l'obtienne afin de remplir ses obligations (ATF 128 III 4 c. 4a pp. 5-6; TF 5A_99/2011 du 26 septembre 2011 c. 7.4.1; TF 5A_18/2011 du 1 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 Lorsque le débirentier diminue volontairement son revenu alors qu'il savait, ou devait savoir, qu'il lui incombait d'assumer des obligations d'entretien, il est admissible de lui imputer le revenu qu'il gagnait précédemment (TF 5A_317/2011 du 22 novembre 2011 c. 6.2 non publié et ATF 137 III 614; TF 5A_848/2010 du 4 avril 2011 c. 2, FamPra.ch 2011 p. 717; TF 5A_76/2012 du 4 juin 2012). En présence de conditions financière modestes et s’agissant du calcul de la contribution envers un enfant mineur, des exigences particulièrement élevées doivent être posées quant à la mise à profit de la capacité de gain du parent débirentier.</w:t>
      </w:r>
    </w:p>
    <w:p>
      <w:r>
        <w:rPr>
          <w:b/>
        </w:rPr>
        <w:t>E. 5.1</w:t>
      </w:r>
    </w:p>
    <w:p>
      <w:r>
        <w:t>L’art. 276 CC dispose que les père et mère doivent pourvoir à l’entretien de l’enfant et assumer, par conséquent, les frais de son éducation, de sa formation et des mesures prises pour le protéger (al. 1) ; il précise que l’entretien est assuré par les soins et l’éducation ou, lorsque l’enfant n’est pas sous la garde de ses père et mère, par des prestations pécuniaires (al. 2). Aux termes de l’art. 285 al. 1 CC, applicable par renvoi de l'art. 133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(CACI 29 juillet 2014/235; CACI 28 mars 2012/156 c. 5; Bastons Bulletti, L’entretien après divorce : méthodes de calcul, montant, durée et limites, SJ 2007 lI 77, spéc. p. 107 s. ; Revue Suisse de Jurisprudence 1984 p. 392, n° 4 et note p. 393 ; Meier/Stettler, Droit de la filiation,</w:t>
      </w:r>
    </w:p>
    <w:p>
      <w:r>
        <w:rPr>
          <w:b/>
        </w:rPr>
        <w:t>E. 5.2</w:t>
      </w:r>
    </w:p>
    <w:p>
      <w:r>
        <w:t>En l'espèce, l'appelant est tenu de contribuer à l'entretien de ses deux enfants mineurs et c'est à juste titre que les premiers juges ont imputé à l'intéressé un revenu hypothétique à 80%. Comme ils l'ont constaté de façon pertinente, si une première baisse du taux de travail de l'appelant de 20% était adéquate en vue de libérer du temps pour s'occuper des enfants, une seconde baisse de son activité n'était en revanche pas admissible. L'appelant a diminué son taux de travail à 60% le 1 er août 2011. Or, depuis le prononcé du 11 février 2011, la garde avait à nouveau été confiée exclusivement à la mère, en raison du comportement du père qui n'exerçait pas la garde alternée dont il bénéficiait par convention du 22 mars 2010. Lorsque l'appelant a ainsi réduit son taux d'activité, il savait qu'il devait contribuer à l'entretien des siens et qu'un salaire réduit l'en empêcherait en partie. Au demeurant, l'appelant n'entretient toujours pas de relations régulières avec ses enfants et il n'a pas pour autant augmenté son taux d'activité. Il est ainsi conforme au droit fédéral et à la jurisprudence de tenir compte d'un revenu hypothétique à 80%. Les premiers juges ont ainsi arrêté le salaire de l'appelant à 7'044 fr. 26 par mois et, en admettant que le débirentier consacre 25% de ce revenu à ses deux enfants mineurs, ils ont fixé la contribution d'entretien dans son premier palier à 900 fr. par mois et par enfant, puis l'ont augmentée à 1'000 fr. de douze à quinze ans et à 1'100 fr. par la suite. Ces calculs ne prêtent pas le flanc à la critique et l'appel doit également être rejeté sur ce point.</w:t>
      </w:r>
    </w:p>
    <w:p>
      <w:r>
        <w:rPr>
          <w:b/>
        </w:rPr>
        <w:t>E. 6</w:t>
      </w:r>
    </w:p>
    <w:p>
      <w:r>
        <w:t>L'appelant conteste devoir une contribution d'entretien en faveur de l'intimée en invoquant la responsabilité individuelle de celle-ci.</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 3.1.1; ATF 137 III 102 c. 4.1.1 ; ATF 132 III 598 c. 9.1 et les arrêts cités).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Un mariage peut notamment avoir une influence concrète sur la situation de l'époux crédirentier s'il a duré au moins dix ans jusqu'à la date de la séparation des époux (ATF 132 III 598 c. 9.2), ou encore, indépendamment de sa durée, si les époux ont eu des enfants communs (ATF 137 III 102 c. 4.1.2 ; ATF 135 III 59 c. 4.1 ; TF 5A_446/2012 du 20 décembre 2012 c. 3.2.3.2).</w:t>
      </w:r>
    </w:p>
    <w:p>
      <w:r>
        <w:rPr>
          <w:b/>
        </w:rPr>
        <w:t>E. 6.2</w:t>
      </w:r>
    </w:p>
    <w:p>
      <w:r>
        <w:t>En l'espèce, c'est également à juste titre que les premiers juges ont considéré que le mariage avait eu un impact décisif sur la vie des époux au vu de sa durée, des trois enfants communs du couple – dont la plus jeune a sept ans – et de l'absence d'activité lucrative de l'intimée durant la vie commune, celle-ci ne disposant au demeurant pas d'une formation professionnelle reconnue en Suisse. Par ses considérations d'ordre général sur la responsabilité individuelle de l'intimée, l'appelant ne démontre pas que le droit fédéral aurait été violé. Il est juste que les époux supportent en commun les conséquences de la répartition des tâches convenue durant le mariage et il est adéquat de fixer des paliers tenant compte du temps nécessaire à l'intimée pour acquérir son indépendance financière, comme l'ont fait les premiers juges. Sur le principe de la contribution d'entretien en faveur de l'intimée, comme sur son montant et sa durée, les considérants des premiers juges sont pertinents et peuvent être confirmés par adoption de motifs.</w:t>
      </w:r>
    </w:p>
    <w:p>
      <w:r>
        <w:rPr>
          <w:b/>
        </w:rPr>
        <w:t>E. 7</w:t>
      </w:r>
    </w:p>
    <w:p>
      <w:r>
        <w:t>En définitive, l'appel doit être rejeté dans la mesure où il est recevable et le jugement confirmé. Les frais judiciaires de deuxième instance, arrêtés à 600 fr. (art. 63 al. 1 TFJC [tarif des frais judiciaires civils du 28 septembre 2010; RSV 270.11.5]),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