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880 vom 29. Oktober 2014</w:t>
      </w:r>
    </w:p>
    <w:p>
      <w:r>
        <w:t>VD Tribunal cantonal, 2014-10-29, FR</w:t>
      </w:r>
    </w:p>
    <w:p>
      <w:r>
        <w:rPr>
          <w:b/>
        </w:rPr>
        <w:t xml:space="preserve">Quelle: </w:t>
      </w:r>
      <w:r>
        <w:t>https://mcp.opencaselaw.ch/entscheid/vd_findinfo_HC___2014___880</w:t>
      </w:r>
    </w:p>
    <w:p>
      <w:r>
        <w:t>FR: VD_FINDINFO HC / 2014 / 880 du 29 octobre 2014</w:t>
      </w:r>
    </w:p>
    <w:p>
      <w:r>
        <w:t>IT: VD_FINDINFO HC / 2014 / 880 del 29 ottobre 2014</w:t>
      </w:r>
    </w:p>
    <w:p>
      <w:pPr>
        <w:pStyle w:val="Heading2"/>
      </w:pPr>
      <w:r>
        <w:t>Regeste</w:t>
      </w:r>
    </w:p>
    <w:p>
      <w:r>
        <w:t>MESURE PROVISIONNELLE, OBLIGATION D'ENTRETIEN | 276 CC, 276 al. 1 CPC (CH)</w:t>
      </w:r>
    </w:p>
    <w:p>
      <w:pPr>
        <w:pStyle w:val="Heading2"/>
      </w:pPr>
      <w:r>
        <w:t>Erwägungen</w:t>
      </w:r>
    </w:p>
    <w:p>
      <w:r>
        <w:rPr>
          <w:b/>
        </w:rPr>
        <w:t>E. 1</w:t>
      </w:r>
    </w:p>
    <w:p>
      <w:r>
        <w:t>a) 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2</w:t>
      </w:r>
    </w:p>
    <w:p>
      <w:r>
        <w:t>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op. cit., JT 2010 III 115, spéc. p. 136-137 ; Jeandin, op. cit., n. 5 ad art. 296 CPC et les références citées). En l’espèce, le litige porte sur la contribution à l’entretien notamment d’un enfant mineur, de sorte que les pièces produites en instance d’appel sont recevables.</w:t>
      </w:r>
    </w:p>
    <w:p>
      <w:r>
        <w:rPr>
          <w:b/>
        </w:rPr>
        <w:t>E. 3</w:t>
      </w:r>
    </w:p>
    <w:p>
      <w:r>
        <w:t>a) En vertu de l’art. 276 al. 1 CPC, le tribunal ordonne les mesures provisionnelles nécessaires pour la durée de la procédure de divorce ; les dispositions régissant la protection de l’union conjugale (art. 172 ss CC) sont applicables par analogie. D'après l'art. 176 al. 1 ch. 1 CC, le juge fixe la contribution pécuniaire à verser par l'une des parties à l'autre. Selon l’art. 176 al. 3 CC, lorsqu’il y a des enfants mineurs, le juge ordonne les mesures nécessaires, d’après les dispositions sur les effets de la filiation. Aux termes de l’art. 276 CC, les père et mère doivent pourvoir à l’entretien de l’enfant et assumer, par conséquent, les frais de son éducation, de sa formation et des mesures prises pour le protéger (al. 1) ;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b)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5A_562/2013 du 24 octobre 2013 c. 3.1; TF 5A_15/2014 du 28 juillet 2013 c. 3 ; TF 5A_535/2013 du 22 octobre 2013 c. 3.1).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5A_15/2014 du 28 juillet 2013 c. 3 ; TF 5A_245/2013 du 24 septembre 2013 c. 3.1; 5A_101/2013 du 25 juillet 2013 c.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5A_15/2014 du 28 juillet 2013 c. 3 ; TF 5A_153/2013 du 24 juillet 2013 c. 2.1; TF 5A_147/2012 du 26 avril 2012 c. 4.2.1), car la procédure de modification n'a pas pour but de corriger le premier jugement, mais de l'adapter aux circonstances nouvelles (ATF 131 III 189 c. 2.7 ; TF 5A_15/2014 du 28 juillet 2013 c. 3). Le fait revêt un caractère nouveau lorsqu'il n'a pas été pris en considération pour fixer la contribution d'entretien dans le jugement précédent (ATF 137 III 604 c. 4.1.1; 131 III 189 c. 2.7.4; TF 5A_15/2014 du 28 juillet 2013 c. 3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5A_15/2014 du 28 juillet 2013 c. 3 ; TF 5A_845/2010 du 12 avril 2011 consid. 4.1). Le moment déterminant pour apprécier si un fait nouveau s'est produit est la date du dépôt de la demande de modification (ATF 137 III 604 c. 4.1.1; 120 II 285 c. 4b ; TF 5A_15/2014 du 28 juillet 2013 c. 3 ).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137 III 604 c. 4.1.2; TF 5A_15/2014 du 28 juillet 2013 c. 3 ; TF 5A_562/2013 du 24 octobre 2013 c. 3.1; TF 5A_140/2013 du 28 mai 2013 c. 4.1).</w:t>
      </w:r>
    </w:p>
    <w:p>
      <w:r>
        <w:rPr>
          <w:b/>
        </w:rPr>
        <w:t>E. 4</w:t>
      </w:r>
    </w:p>
    <w:p>
      <w:r>
        <w:t>février 2011, c. 3 ; 5A_207/2009 du 21 octobre 2009, c. 3.2; 5A_746/2008 du 9 avril 2009, c. 6.1 et les références citées) et doivent donc être déduites dans le calcul du minimum vital lors de la fixation de la contribution due par le parent non gardien pour l’entretien des siens (TF 5A_511/2010 du 4 février 2011, c. 3; 5A_352/2010 du 29 octobre 2010, c. 6.2.1). Il faut donc retrancher 800 fr. du montant de base de 1'200 fr. pour les deux enfants. i) S’agissant des frais de déplacement de l’intimée, il n’y a pas lieu de revenir sur le montant de 250 fr. qui avait déjà été retenu dans les précédentes décisions et qui n’avait pas fait l’objet de contestations de la part de l’appelant.</w:t>
      </w:r>
    </w:p>
    <w:p>
      <w:r>
        <w:rPr>
          <w:b/>
        </w:rPr>
        <w:t>E. 5</w:t>
      </w:r>
    </w:p>
    <w:p>
      <w:r>
        <w:t>En définitive, les charges incompressibles de l’appelant sont celles retenues par le premier juge, soit 3'732 francs. Ses revenus s’élèvent à 9'223 fr. –étant précisé que cela vaut pour toute la période considérée, dès lors qu’il n’y a pas à déduire la saisie de salaire dès le 1 er avril 2014 (cf. c. 4a supra) –, d’où un disponible de 5'491 francs. Les charges incompressibles de l’intimée doivent être diminuées de 800 fr. par rapport à celles retenues par le premier juge (cf. c. 3h supra) et s’élèvent donc à 3'670 fr. 95. Ses revenus (et ceux d’C.X.________) se montent à 4’233 francs. Il en résulte un disponible de 562 francs. Le disponible des deux époux (5'491 fr. + 562 fr. = 6'053 fr.) doit être réparti à raison de 60% pour l’intimée et 40% pour l’appelant, dès lors que ce dernier paie déjà une contribution d’entretien de 1'000 fr. pour sa fille majeure B.X.________. L’intimée aurait donc droit à une contribution d’entretien de 3'070 fr. (3'632 fr. ./. 562 fr.), de sorte que c’est à juste titre que le premier juge a rejeté la requête de l’appelant tendant à la modification de la décision fixant à 2'900 fr. le montant mensuel de la pension provisionnelle.</w:t>
      </w:r>
    </w:p>
    <w:p>
      <w:r>
        <w:rPr>
          <w:b/>
        </w:rPr>
        <w:t>E. 6</w:t>
      </w:r>
    </w:p>
    <w:p>
      <w:r>
        <w:t>Il résulte de ce qui précède que l’appel, manifestement mal fondé, doit être rejeté dans la procédure de l’art. 312 al. 1 CPC et l’ordonnance entreprise confirmée. Vu l’issue de l’appel, les frais judiciaires de la procédure de deuxième instance, qui doivent être arrêtés à 600 fr. (art. 65 al. 2 TFJC [tarif des frais judiciaires en matière civile du 28 septembre 2010; RSV 270.11.5) pour l’appelant, seront provisoirement laissés à la charge de l’Etat, compte tenu de ce que l’appelant bénéficie de l’assistance judiciaire (art. 122 al. 1 let. b CPC). L’intimée n'ayant pas été invitée à se déterminer sur l'appel, il n’y a pas lieu d’allouer de dépens de deuxième instance. L’indemnité d’office de Me Nicolas Perret, conseil d’office de l’appelant, pour la procédure de deuxième instance sera arrêtée à 2'154 fr. 60, comprenant un défraiement de 1'995 fr. et la TVA sur ce montant par 159 fr. 60 (art. 122 al. 2 CPC ; art. 2 al. 1 RAJ [Règlement du 7 décembre 2010 sur l’assistance judiciaire en matière civile; RSV 211.02.3]). Dans la mesure de l’art. 123 CPC, le bénéficiaire de l'assistance judiciaire est tenu au remboursement des frais judiciaires et de l’indemnité à son conseil d’office mis à la charge de l’Etat.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pour l’appelant A.X.________, sont provisoirement laissés à la charge de l’Etat. IV. Il n’est pas alloué de dépens de deuxième instance. V. L’indemnité d’office de Me Nicolas Perret, conseil d’office de l’appelant, est arrêtée à 2'154 fr. 60 (deux mille cent cinquante-quatre francs et soixante centimes), TVA et débours compris. VI. Le bénéficiaire de l’assistance judiciaire est, dans le mesure de l’art. 123 CPC, tenu au remboursement des frais judiciaires et de l’indemnité à son conseil d’office laissés provisoirement à la charge de l’Etat. VII. L’arrêt motivé est exécutoire. Le juge délégué : La greffière : Du 31 octobre 2014 Le dispositif de l'arrêt qui précède est communiqué par écrit aux intéressés. La greffière : Du L'arrêt qui précède, dont la rédaction a été approuvée à huis clos, est notifié en expédition complète, par l'envoi de photocopies, à : ‑ Me Nicolas Perret (pour A.X.________), ‑ Me Bertrand Demierre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