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 vom 9. Januar 2014</w:t>
      </w:r>
    </w:p>
    <w:p>
      <w:r>
        <w:t>VD Tribunal cantonal, 2014-01-09, FR</w:t>
      </w:r>
    </w:p>
    <w:p>
      <w:r>
        <w:rPr>
          <w:b/>
        </w:rPr>
        <w:t xml:space="preserve">Quelle: </w:t>
      </w:r>
      <w:r>
        <w:t>https://mcp.opencaselaw.ch/entscheid/vd_findinfo_HC___2014___88</w:t>
      </w:r>
    </w:p>
    <w:p>
      <w:r>
        <w:t>FR: VD_FINDINFO HC / 2014 / 88 du 9 janvier 2014</w:t>
      </w:r>
    </w:p>
    <w:p>
      <w:r>
        <w:t>IT: VD_FINDINFO HC / 2014 / 88 del 9 gennaio 2014</w:t>
      </w:r>
    </w:p>
    <w:p>
      <w:pPr>
        <w:pStyle w:val="Heading2"/>
      </w:pPr>
      <w:r>
        <w:t>Regeste</w:t>
      </w:r>
    </w:p>
    <w:p>
      <w:r>
        <w:t>DROIT DE GARDE, MESURE PROVISIONNELLE, DIVORCE, VISITE, MODIFICATION{EN GÉNÉRAL} | 176 al. 3 CC, 179 al. 1 CC, 273 al. 1 CC, 276 al. 1 CPC (CH), 308 al. 1 let. b CPC (CH), 308 al. 2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 et indiquer les raisons qui les rendent admissibles selon lui (JT 2010 III 136-137). La jurisprudence vaudoise (JT 2011 III 43; RSPC 2011, p. 320, note approbatrice de Tappy) considère qu'en appel les novas sont soumis au régime ordinaire, même dans les causes soumises à la maxime inquisitoire (en ce sens Tappy, JT 2010 III 115; Hohl, Procédure civile, Tome II, 2 ème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le couple a des enfants mineurs si bien que la maxime d’office et la maxime inquisitoire illimitée sont applicables (art. 296 al. 1 et 3 CPC ; Hohl, op. cit., nn. 2099 et 2161, pp. 383 et 395). Les pièces produites par les parties sont ainsi recevables dans la mesure où elles ne figuraient pas déjà au dossier de première instance.</w:t>
      </w:r>
    </w:p>
    <w:p>
      <w:r>
        <w:rPr>
          <w:b/>
        </w:rPr>
        <w:t>E. 3</w:t>
      </w:r>
    </w:p>
    <w:p>
      <w:r>
        <w:t>L’appelant reproche au premier juge d’avoir occulté le fait que le droit de visite prévu par l’ordonnance de mesures provisionnelles du 11 décembre 2012 confinait à une garde alternée de fait. Il soutient que le tribunal aurait dès lors dû parvenir à la conclusion que, si les circonstances n’imposaient pas une modification du droit de garde, le système de garde alternée jusqu’alors appliqué devait être maintenu, libre à l’épouse de s’éloigner si elle le souhaitait. Par ailleurs, l’appelant fait valoir qu’à capacités éducatives égales des parents, le premier juge aurait dû choisir la solution qui était la mieux à même d’assurer aux enfants la stabilité de leur situation, soit en l’occurrence de confier la garde au père, dès lors qu’ils pourraient ainsi être maintenus dans le cadre de vie qui leur est familier et conserver le même lieu de scolarité ainsi que leurs amis. Enfin, l’appelant soutient que l’intimée paraît présenter de moins bonnes garanties quant à favoriser les relations des enfants avec l’autre parent, vu les agissements récurrents de son épouse tendant à réduire le temps qu’il passe avec les enfants . 3.1.1 En vertu de l’art. 276 al. 1 CPC, le tribunal ordonne les mesures provisionnelles nécessaires, les dispositions régissant la protection de l’union conjugale étant applicable par analogie. Selon l'art. 176 al. 3 CC (Code civil suisse du 10 décembre 1907; RS 210), relatif à l'organisation de la vie séparée, lorsque les époux ont des enfants mineurs, le juge des mesures protectrices ordonne les mesures nécessaires d'après les dispositions sur les effets de la filiation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Le droit de garde est une composante de l'autorité parentale. Il consiste en la compétence de déterminer le lieu de résidence et le mode d'encadrement de l'enfant (ATF 128 III 9 c. 4a, rés. JT 2002 I 324). En ce qui concerne le domicile légal dérivé de l’enfant, l’art. 25 al. 1 CC prévoit que lorsque les père et mère vivent séparés, l’enfant a pour domicile celui du parent qui a le droit de garde. Pour le surplus, le titulaire du droit de garde est responsable de l'encadrement quotidien, des soins et de l'éducation de l'enfant. A ce sujet, on parle aussi de garde de fait ("faktische Obhut").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c'est-à-dire propres à influencer le cours de la vie de l'enfant, comme par exemple la pratique d'un sport de haut niveau, le passage de l'école publique à un enseignement privé ou en cas d'entrée dans un internat ou dans un établissement strictement confessionnel (ATF 136 III 353 c. 3.2., JT 2010 I 491). 3.1.2 En ce qui concerne la formation de l’enfant, sauf exception, la scolarisation au nouveau domicile est incluse comme telle dans le droit de choisir le lieu de séjour, élément essentiel du droit de garde, car le fait de changer d’établissement scolaire résulte directement et inévitablement du transfert de domicile et des obligations scolaires correspondantes à ce lieu. Sous réserve d’un abus de droit, le parent titulaire de la garde exclusive est fondé à déménager avec les enfants, même à l’étranger, sans devoir pour cela obtenir l’autorisation du juge. Cependant, l’exercice de l’autorité parentale, comme du droit de garde qui en est une composante, doit poursuivre en toutes circonstances le bien de l’enfant. Si ce bien est menacé et que les parents n’y remédient pas d’eux-mêmes, ou s’ils sont hors d’état de le faire, l’autorité tutélaire – respectivement le juge des mesures protectrices de l’union conjugale ou le juge compétent pour ordonner les mesures de protection de l’enfant – prend, d’office ou sur requête d’un des parents, les dispositions adéquates pour la protection de l’enfant (ATF 136 III 353, JT 2010 I 491). 3.1.3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Une garde alternée n'est envisageable que si les parents sont d'accord et ont pris toutes les mesures pour régler les aspects pratiques de manière à préserver le bien de l'enfant (François Chaix, in Pichonnaz/Foëx (éd.), Commentaire romand, Code civil I, 2010, n. 19 ad art. 176 CC; Juge délégué CACI 20 décembre 2011/411). 3.1.4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Une modification des mesures provisionnelles visant le retrait de la garde au parent et le placement de l’enfant en institution suppose un changement notable de circonstances. En outre, seul l’intérêt de l’enfant peut commander une telle mesure. En règle générale, des difficultés initiales d’intégration ou de langue ne représentent pas un danger sérieux pour l’intérêt de l’enfant. De telles difficultés sont en effet plus ou moins inhérentes à tout changement de domicile, qu’il s’agisse d’une installation à l’étranger ou dans une autre partie du pays, et se présentent, pour l’essentiel, lorsque non seulement le titulaire du droit de garde, mais aussi l’ensemble de la famille déménage. La perspective d’un changement d’établissement scolaire ou les limitations de l’exercice du droit de visite résultant inévitablement  d’un éloignement géographique du titulaire du droit de garde ne sont pas non plus de nature, en principe, à mettre le bien de l’enfant sérieusement en danger (TF 5A_643/2011 du 22 novembre 2011 c. 5.1.2 in FamPra.ch 2012 p. 480).</w:t>
      </w:r>
    </w:p>
    <w:p>
      <w:r>
        <w:rPr>
          <w:b/>
        </w:rPr>
        <w:t>E. 3.2</w:t>
      </w:r>
    </w:p>
    <w:p>
      <w:r>
        <w:t>En l’espèce, le premier juge a estimé que les éventuelles difficultés initiales d’intégration ou de langue ne pouvaient pas être considérées comme une menace pour les enfants, qui bénéficiaient de capacités d’apprentissage bien développées et étaient, de l’avis des parents, de bons voire d’excellents élèves. Au demeurant, il a relevé que l’appelant n’invoquait pas que la mère mettrait les enfants en danger, confirmant au contraire ses capacités éducatives, et retenu en définitive que le changement du lieu de résidence des enfants ne constituait pas en soi une modification significative justifiant un changement du titulaire du droit de garde.</w:t>
      </w:r>
    </w:p>
    <w:p>
      <w:r>
        <w:rPr>
          <w:b/>
        </w:rPr>
        <w:t>E. 3.3</w:t>
      </w:r>
    </w:p>
    <w:p>
      <w:r>
        <w:t>Il n’est pas contesté que l’appelant exerçait sur ses enfants, en application de l’ordonnance de mesures provisionnelles du 11 décembre 2012, un droit de visite élargi, confinant à une garde alternée de fait. La garde était toutefois formellement attribuée à la mère, qui a souhaité, après que son emploi à Genève eût pris fin, revenir auprès des siens et rechercher une nouvelle activité dans la région zurichoise. Ce déménagement a eu pour conséquence le déplacement des enfants à [...] et un droit de visite forcément plus restreint pour le père. La garde étant formellement confiée à la mère, on ne saurait dès lors, comme le soutient l’appelant, assimiler purement et simplement le large droit de visite accordé au père à une garde alternée, d’autant que la garde alternée suppose, juridiquement, l’accord des deux parents (TF 5A_69/2011 du 27 février 2012 c. 2.1 et les arrêts cités) et que l’intimée s’était précisément opposée, dans son appel interjeté à l’encontre de dite ordonnance, au droit de visite élargi du père, au motif qu’il était contraire à l’intérêt des enfants. Cela étant, le droit de garde comprend en particulier la faculté de déterminer le lieu de résidence et le mode d’encadrement des enfants. L’intimée, en tant que titulaire de la garde exclusive des enfants, était ainsi en droit de déménager dans une autre région du pays, à savoir celle où sont établis ses parents et où elle a vraisemblablement grandi. Dans ces conditions, on ne saurait retenir que le déménagement n’était pas objectivement fondé, d’autant qu’il est intervenu alors que l’intimée avait perdu l’emploi qu’elle occupait depuis quelques années à Genève. Pour admettre le transfert du droit de garde sur les enfants à l’appelant, il aurait fallu que le déménagement menace le bien des enfants. Or, des difficultés initiales d’intégration ou de langue ne représentent, en règle générale, pas un danger sérieux pour l’intérêt des enfants, qui plus est lorsque les enfants ne sont pas, comme en l’espèce, encore adolescents. En outre, la perspective d’un changement d’établissement scolaire ou les limitations de l’exercice du droit de visite résultant inévitablement d’un éloignement géographique du titulaire du droit de garde ne sont pas de nature, en principe, à mettre sérieusement le bien de l’enfant en danger (TF 5A_643/2011 du 22 novembre 2011). En l’occurrence, les enfants ont indiqué qu’ils parlaient le suisse allemand, qui est la langue maternelle de l’intimée, et bénéficient de l’encadrement scolaire nécessaire à l’apprentissage de la langue allemande. Vu leur jeune âge, ces difficultés initiales de scolarisation ne constituent pas un obstacle majeur à leur déménagement en Suisse allemande, d’autant que les enfants ont paru vifs et intelligents et sont décrits comme de bons élèves. Par ailleurs, force est de constater que l’intimée n’a pas démérité dans son rôle de mère et que les parents se reconnaissent mutuellement de bonnes compétences éducatives. Or, à compétences éducatives égales, la disponibilité des parents est déterminante, particulièrement s’agissant de jeunes enfants. En l’espèce, il apparaît que dans l’organisation du couple, l’intimée a toujours privilégié le travail à un taux d’activité partiel, de l’ordre de 70%, pour s’occuper des enfants. L’intimée a expliqué à cet égard que son activité, exercée dans le cadre d’une mission temporaire, lui permettait de prendre beaucoup de vacances. De son côté, l’appelant a déclaré avoir la faculté d’aménager son temps de travail, indiquant qu’il effectuait actuellement 30 à 40% de son temps de travail à domicile. Il n’en demeure pas moins que le père exerce son activité à plein temps, qu’il occupe un poste à responsabilité et que le télétravail ne paraît guère en mesure d’apporter une solution stable et durable pour l’encadrement et la prise en charge de jeunes enfants, l’appelant étant par ailleurs appelé à voyager occasionnellement. En  définitive, c’est à bon droit que le premier juge a considéré que le déménagement des enfants dans une autre région de la Suisse ne constituait pas un changement significatif susceptible de justifier le transfert du droit de garde au parent non gardien. L’ordonnance du premier juge doit ainsi être confirmée sur ce point.</w:t>
      </w:r>
    </w:p>
    <w:p>
      <w:r>
        <w:rPr>
          <w:b/>
        </w:rPr>
        <w:t>E. 4.1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réf., FamPra.ch 2011 p. 491; ATF 131 III 209 c. 5; 123 III 445 c. 3b).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compte notamment de l'âge de l'enfant (préscolarité ou adolescence par exemple), de son état de santé, de ses loisirs, etc. La notion que l'enfant a du temps, selon son âge, est également importante; de fréquentes rencontres de quelques heures peuvent ainsi être plus appropriées pour des enfants en bas âge que des week-ends entiers (Leuba, Commentaire romand, n. 14s ad art. 273 CC). La pratique romande d'un week-end sur deux est qualifiée de large en doctrine par rapport à celle d'outre Sarine (Audrey Leuba, in Pichonnaz/Foëx (éd.), Commentaire romand, Code civil I, 2010, n° 16 ad art. 273 CC ; Stettler, Droit de la filiation, 4 ème éd., Genève, 2009, n° 703). Il faut donc des circonstances particulières pour aller au-delà du droit de visite usuel (Hegnauer, Droit suisse de la filiation, n° 19.16, p. 114; Juge délégué CACI 20 décembre 2011/411 c. 6b; Juge délégué CACI 22 août 2012/380 c. 3b).</w:t>
      </w:r>
    </w:p>
    <w:p>
      <w:r>
        <w:rPr>
          <w:b/>
        </w:rPr>
        <w:t>E. 4.2</w:t>
      </w:r>
    </w:p>
    <w:p>
      <w:r>
        <w:t>L’appelant n’a pas pris de conclusions en ce qui concerne l’exercice du droit de visite, dans le cas où l’attribution de la garde en faveur de l’intimée serait confirmée. En l’occurrence, il apparaît que la réglementation du droit de visite du père, telle que prévue par le premier juge, est adéquate et appropriée aux circonstances particulières du cas, compte tenu notamment de l’éloignement géographique des domiciles respectifs des parents et des aspirations de chacun à avoir les enfants auprès de lui. L’ordonnance de mesures provisionnelles peut ainsi être confirmée sur ce point. A défaut de meilleure entente, le droit de visite du père sera ainsi exercé selon les modalités prévues par le chiffre II du dispositif de l’ordonnance attaquée.</w:t>
      </w:r>
    </w:p>
    <w:p>
      <w:r>
        <w:rPr>
          <w:b/>
        </w:rPr>
        <w:t>E. 5</w:t>
      </w:r>
    </w:p>
    <w:p>
      <w:r>
        <w:t>En conclusion, l’appel doit être rejeté et l’ordonnance confirmée, à l’exception du chiffre III de son dispositif relatif à la contribution d’entretien due par l’époux pour l’entretien des siens, qui a fait l’objet d’une transaction signée par les parties à l’audience d’appel du 9 janvier 2014. Il y a donc lieu de la ratifier pour valoir arrêt sur appel de mesures provisionnelles. Les frais judiciaires de deuxième instance, arrêtés à 1'000 fr. (art. 65 al. 2 et 4 TFJC [tarif des frais judiciaires civils du 28 septembre 2010 ; RSV 270.11.5]), sont mis à la charge de l’appelant, qui succombe (art. 106 al. 1 CPC). L’appelant versera à B.Q.________ des dépens de deuxième instance, fixés conformément au tarif des dépens en matière civile du 23 novembre 2010 (TDC, RSV 270.11.6 ; art. 96 CPC). En règle générale, la partie succombante est tenue de rembourser à la partie qui obtient gain de cause tous les frais causés par le litige (art. 3 al. 1 TDC). En l’espèce, il y a lieu d’allouer à l’intimée, qui a déposé une réponse et qui a transigé sur la question de la contribution d’entretien, des dépens réduits de deuxième instance, arrêtés à 500 fr., conformément à l’art. 7 TDC. Par ces motifs, le juge délégué de la Cour d’appel civile du Tribunal cantonal, statuant à huis clos, prononce : I. L’appel est rejeté. II. Le chiffre III de l’ordonnance est réformé selon convention partielle du 9 janvier 2014, ratifiée pour valoir arrêt sur appel et ainsi libellée : « I. Dès le 1 er septembre 2013, A.Q.________ versera pour l’entretien des siens une pension provisionnelle de 3'140 fr. (trois mille cent quarante francs), payable d’avance, le premier de chaque mois en mains d’B.Q.________. Cette pension s’entend allocations familiales non comprises. Elle comprend les primes d’assurance-maladie des enfants du couple, que B.Q.________ s’engage à reverser mensuellement à A.Q.________. II. Pour les pensions dues avant le 1 er septembre 2012, A.Q.________ reconnaît devoir à B.Q.________ la somme de 5'000 fr. (cinq mille francs), pour solde de tout compte. B.Q.________ s’engage à ne pas réclamer cette somme avant jugement au fond définitif et exécutoire. » III. L’ordonnance est confirmée pour le surplus. IV. Les frais judiciaires de deuxième instance, arrêtés 1'000 fr. (mille francs), sont mis à la charge de l’appelant A.Q.________. V. A.Q.________ versera à B.Q.________ un montant de 500 fr. (cinq cents francs) à titre de dépens de deuxième instance. VI. L’arrêt est exécutoire. Le juge délégué : Le greffier : Du L'arrêt qui précède, dont la rédaction a été approuvée à huis clos, est notifié à : ‑ Me Laurent Winkelmann (pour A.Q.________), ‑ Me Sandra Genier Müller (pour B.Q.________).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