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876 vom 10. November 2014</w:t>
      </w:r>
    </w:p>
    <w:p>
      <w:r>
        <w:t>VD Tribunal cantonal, 2014-11-10, FR</w:t>
      </w:r>
    </w:p>
    <w:p>
      <w:r>
        <w:rPr>
          <w:b/>
        </w:rPr>
        <w:t xml:space="preserve">Quelle: </w:t>
      </w:r>
      <w:r>
        <w:t>https://mcp.opencaselaw.ch/entscheid/vd_findinfo_HC___2014___876</w:t>
      </w:r>
    </w:p>
    <w:p>
      <w:r>
        <w:t>FR: VD_FINDINFO HC / 2014 / 876 du 10 novembre 2014</w:t>
      </w:r>
    </w:p>
    <w:p>
      <w:r>
        <w:t>IT: VD_FINDINFO HC / 2014 / 876 del 10 novembre 2014</w:t>
      </w:r>
    </w:p>
    <w:p>
      <w:pPr>
        <w:pStyle w:val="Heading2"/>
      </w:pPr>
      <w:r>
        <w:t>Regeste</w:t>
      </w:r>
    </w:p>
    <w:p>
      <w:r>
        <w:t>PROTECTION DE L'UNION CONJUGALE, OBLIGATION D'ENTRETIEN, REVENU HYPOTHÉTIQUE | 176 al. 1 ch. 1 CC</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(Code de procédure civile du 19 décembre 2008 ; RS 272) (Colombini, JT 2013 III 131 n. 6a et les réf.), dans les causes non patrimoniales ou dans les affaires patrimoniales dont la valeur litigieuse au dernier état des conclusions est de 10’000 fr. au moins (art. 308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w:t>
      </w:r>
    </w:p>
    <w:p>
      <w:r>
        <w:rPr>
          <w:b/>
        </w:rPr>
        <w:t>E. 3</w:t>
      </w:r>
    </w:p>
    <w:p>
      <w:r>
        <w:t>a)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 JT 2011 III 43 c.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et les réf. citées, in SJ 2013 I 311).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JT 2013 III 131 ss, n. 40, p. 150 et les réf.). b) En l'espèce, dès lors que la cause ne porte pas sur la situation d’enfants mineurs, le litige n’est pas régi par la maxime inquisitoire illimitée de l'art. 296 CPC (Hohl, Procédure civile, Tome II, 2 e éd., Berne 2010, nn. 1166 ss et 2414 ss). Ainsi, les pièces 4 (extrait internet du 1 er juin 2014) et 12 (écrit de l’intimée du 17 mai 2014) produites par l’appelant ne sont pas recevables, dès lors qu’elles auraient pu être produites en première instance et que l’appelant n’expose pas et a fortiori ne démontre pas en quoi il aurait été empêché de le faire jusqu’à l’audience du 9 septembre 2014. Les pièces</w:t>
      </w:r>
    </w:p>
    <w:p>
      <w:r>
        <w:rPr>
          <w:b/>
        </w:rPr>
        <w:t>E. 5</w:t>
      </w:r>
    </w:p>
    <w:p>
      <w:r>
        <w:t>Il résulte de ce qui précède que l’appel doit être partiellement admis et la décision entreprise réformée en ce sens que A.G.________ doit contribuer à l’entretien de B.G.________ par le régulier versement en mains de celle-ci, d’avance le premier de chaque mois, de la somme mensuelle de 1’100 fr. du 1 er septembre au 31 octobre 2014 et de 1’650 fr. à partir du 1 er novembre 2014. Vu qu’aucune des parties n’obtient entièrement gain de cause, les frais judiciaires de deuxième instance, arrêtés à 1’200 fr. (art. 63 al. 2 TFJC [tarif des frais judiciaires en matière civile du 28 septembre 2010 ; RSV 270.11.5]), doivent être mis pour moitié à la charge de chacune des parties (art. 106 al. 2 CPC). L’intimée versera ainsi à l’appelant la somme de 600 fr. à titre de restitution partielle de l’avance de frais fournie par ce dernier (art. 111 al. 2 CPC). Vu le sort de l’appel, les dépens sont compensés (art. 106 al. 2 CPC). Dans sa réponse du 3 novembre 2014, le conseil de l’intimée, Me Roland Burkhard, a exposé qu’il avait plaidé jusqu’ici au bénéfice de l’assistance judiciaire, mais que les frais de la procédure d’appel n’avaient pas à être supportés par l’Etat de Vaud. N’ayant à aucun moment présenté de requête d’assistance judiciaire au sens de l’art. 119 al. 5 CPC, ni pris de conclusions en ce sens, Me Burkhard n’a pas droit une rémunération équitable de la part du canton de Vaud (art. 122 al. 1 let. a CPC). Par ces motifs, la juge déléguée de la Cour d’appel civile du Tribunal cantonal, statuant à huis clos, prononce : I. L’appel est partiellement admis. II. L’ordonnance attaquée est réformée au chiffre VI de son dispositif comme il suit : VIa. dit que A.G.________ contribuera à l’entretien de B.G.________ par le régulier versement en mains de cette dernière, d’avance le premier de chaque mois, du 1 er septembre au 31 octobre 2014, d’une pension mensuelle de 1’100 fr. (mille cent francs) ; VIb. dit que A.G.________ contribuera à l’entretien de B.G.________ par le régulier versement en mains de cette dernière, d’avance le premier de chaque mois, dès et y compris le 1 er novembre 2014, d’une pension mensuelle de 1'650 fr. (mille six cent cinquante francs). III. Les frais judiciaires de deuxième instance, arrêtés à 1’200 fr. (mille deux cents francs), sont mis à la charge de l’appelant A.G.________ par 600 fr. (six cents francs) et de l’intimée B.G.________ par 600 fr. (six cents francs). IV. L’intimée B.G.________ doit verser à l’appelant A.G.________ la somme de 600 fr. (six cents francs) à titre de restitution partielle d’avance de frais de deuxième instance. V. Les dépens de deuxième instance sont compensés. VI. L'arrêt est exécutoire. La juge déléguée : La greffière : Du L'arrêt qui précède, dont la rédaction a été approuvée à huis clos, est notifié à : ‑ Me Micaela Vaerini (pour A.G.________) ‑ Me Roland Burkhard (pour B.G.________)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