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870 vom 31. Oktober 2014</w:t>
      </w:r>
    </w:p>
    <w:p>
      <w:r>
        <w:t>VD Tribunal cantonal, 2014-10-31, FR</w:t>
      </w:r>
    </w:p>
    <w:p>
      <w:r>
        <w:rPr>
          <w:b/>
        </w:rPr>
        <w:t xml:space="preserve">Quelle: </w:t>
      </w:r>
      <w:r>
        <w:t>https://mcp.opencaselaw.ch/entscheid/vd_findinfo_HC___2014___870</w:t>
      </w:r>
    </w:p>
    <w:p>
      <w:r>
        <w:t>FR: VD_FINDINFO HC / 2014 / 870 du 31 octobre 2014</w:t>
      </w:r>
    </w:p>
    <w:p>
      <w:r>
        <w:t>IT: VD_FINDINFO HC / 2014 / 870 del 31 ottobre 2014</w:t>
      </w:r>
    </w:p>
    <w:p>
      <w:pPr>
        <w:pStyle w:val="Heading2"/>
      </w:pPr>
      <w:r>
        <w:t>Regeste</w:t>
      </w:r>
    </w:p>
    <w:p>
      <w:r>
        <w:t>AUGMENTATION{EN GÉNÉRAL}, BAIL À LOYER, FICTION DE LA NOTIFICATION, FARDEAU DE LA PREUVE | 269d al. 1 CO, 316 al. 3 CPC (CH)</w:t>
      </w:r>
    </w:p>
    <w:p>
      <w:pPr>
        <w:pStyle w:val="Heading2"/>
      </w:pPr>
      <w:r>
        <w:t>Erwägungen</w:t>
      </w:r>
    </w:p>
    <w:p>
      <w:r>
        <w:rPr>
          <w:b/>
        </w:rPr>
        <w:t>E. 1</w:t>
      </w:r>
    </w:p>
    <w:p>
      <w:r>
        <w:t>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En l’espèce, la valeur litigieuse au dernier état des conclusions devant l’autorité de première instance était supérieure à 10’000 francs. Interjeté en temps utile (art. 311 al. 1 CPC), par une partie qui y a intérêt (art. 59 al. 2 let. a CPC), contre une décision finale de première instance,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L’appelante conteste la validité de la hausse de loyer. Elle requiert la production de l’original de la pièce n o 4, expliquant notamment que la photocopie d’une enveloppe ne suffit pas à attester de son contenu, qu’une attestation postale ne prouve pas non plus le contenu de l’envoi et que la pièce n o</w:t>
      </w:r>
    </w:p>
    <w:p>
      <w:r>
        <w:rPr>
          <w:b/>
        </w:rPr>
        <w:t>E. 3.1.1</w:t>
      </w:r>
    </w:p>
    <w:p>
      <w:r>
        <w:t>La formule officielle de majoration du loyer doit être notifiée et reçue par le locataire au moins dix jours avant le début du délai de résiliation du bail (art. 269d al.1 CO). Il s’agit d’un délai de réflexion pour permettre au locataire qui ne désire ni accepter l’augmentation, ni la contester de résilier à temps le contrat. Le délai de dix jours commence à courir le lendemain de la réception de l’avis de majoration. Selon la jurisprudence,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ATF 130 III 396 c. 1.2.3, JT 2005 Il 87).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(TF 4A_250/2008 du 18 juin 2008 c. 3.2.2; TF 1P.505/1998 du 28 octobre 1998 c. 2c, in SJ 1999 I p. 145; CACI 28 juillet 2014/396 c. 3/bb). Conformément à la jurisprudence constante du Tribunal fédéral, le fardeau de la preuve de la notification d’un acte et de la date à laquelle celle-ci a été effectuée incombe en principe à celui qui entend en tirer une conséquence juridique (ATF 122 I 97 c. 3b p. 100; ATF 114 III 51 c. 3c et 4). Autrement dit, dans le cas présent, c’est le bailleur qui supporte les conséquences de l’absence de preuve, ce qui signifie que si la notification même, ou sa date, sont contestées et qu’il existe effectivement un doute à ce sujet, il convient de se fonder sur les déclarations du destinataire de l’envoi (cf. ATF 103 V 63 c. 2a). Si des faits juridiquement déterminants restent douteux ou ne sont pas établis, la conséquence de l’absence de preuve est supportée par la partie demanderesse (ATF 119 Il 305). Dans une jurisprudence constante, le Tribunal fédéral a précisé que la règle de l’art.</w:t>
      </w:r>
    </w:p>
    <w:p>
      <w:r>
        <w:rPr>
          <w:b/>
        </w:rPr>
        <w:t>E. 3.1.2</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Le tribunal doit administrer une preuve offerte, pour autant qu’elle soit adéquate, autrement dit qu’elle soit apte à forger la conviction du tribunal sur la réalité d’un fait pertinent, à savoir dont la démonstration peut avoir une incidence sur l’issue du litige.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 3; ATF 129 III 18 c. 2.6), en sorte que le moyen de preuve offert ne doit pas être superfétatoire, ce qui signifie que la preuve n’est pas inutile parce que le juge, après avoir pris connaissance des autres preuves, est déjà convaincu de l’existence ou de l’inexistence du fait à prouver (ATF 5A_877/2013 du 10 février 2014 c. 4.1.3).</w:t>
      </w:r>
    </w:p>
    <w:p>
      <w:r>
        <w:rPr>
          <w:b/>
        </w:rPr>
        <w:t>E. 3.2</w:t>
      </w:r>
    </w:p>
    <w:p>
      <w:r>
        <w:t>Le 4 mai 2012, la K.________SA a notifié, par recommandé, une hausse de loyer à l’appelante, ce à l’adresse du bail. Il résulte des photocopies figurant au dossier que la notification de hausse de loyer a été effectuée sur une formule officielle et est datée du 4 mai 2012 (pièce n o 3). L’enveloppe d’envoi est également datée du 4 mai 2012 (pièce n o 4) et le justificatif postal de distribution indique que l’appelante a été avisée pour retrait le 7 mai 2012 et que le courrier a été retourné à l’expéditeur comme non réclamé le 15 mai 2012 (pièce n o 5). Certes, ainsi que l’allègue l’appelante, ce justificatif ne comporte pas son nom; peu importe toutefois, dès lors qu’il contient le numéro d’envoi, lequel correspond au numéro indiqué sur l’enveloppe qui a été adressée à l’appelante (à savoir le n o G.________). Dès lors, force est de constater que pour se prémunir contre le risque d’échec de la preuve de la notification, les bailleurs ont communiqué la hausse de loyer sous pli recommandé, ce qui est suffisant au regard de la jurisprudence précitée. Pour le surplus, l’appelante ne fait valoir aucune circonstance propre à retenir l’existence d’un quelconque doute sur la régularité de la notification. L’ensemble de ces éléments emporte la conviction selon laquelle la notification de la hausse de loyer a été valablement effectuée et il n’y a pas lieu de procéder à une instruction complémentaire à ce sujet. L’appelante invoque une tromperie de la part de la gérance au regard des pièces n os 4 et 102. Or, aucun élément ne permet d’appuyer cette théorie qui doit être écartée sur le vu des pièces du dossier. Pour le reste, l’argumentation concernant la validité de la notification de la hausse du loyer telle qu’exposée par le premier juge peut être reprise, dès lors qu’elle est complète et convaincante. En effet, la notification de hausse de loyer a été effectuée au moyen d’une formule officielle dûment complétée avec l’indication du montant de l’ancien et du nouveau loyer, la date d’entrée en vigueur de la hausse ainsi que les motifs et le calcul de celle-ci. Par ailleurs, il n’existe aucune obligation pour le bailleur de réitérer la notification et/ou de la transmettre par pli simple au locataire lorsque celui-ci ne retire pas le pli recommandé qui lui est adressé. L'appelante a d'ailleurs admis qu'elle avait eu connaissance de la majoration, au moyen des bulletins de versement qui lui avaient été adressés par la gérance. Le fait que la hausse de loyer ait été signée par la K.________SA au nom du bailleur A.P.________, sans mention du nom de B.P.________, n’a aucune conséquence sur sa validité, comme l’a retenu le Tribunal des baux dans son jugement préjudiciel du 23 janvier 2014. Enfin, rien n’indique que la majoration de loyer du 4 mai 2012 ait été assortie d’une résiliation de bail comme le soutient l'appelante. 4. L’appelante requiert une réparation pour les inconvénients que lui aurait causés la présente procédure.</w:t>
      </w:r>
    </w:p>
    <w:p>
      <w:r>
        <w:rPr>
          <w:b/>
        </w:rPr>
        <w:t>E. 4</w:t>
      </w:r>
    </w:p>
    <w:p>
      <w:r>
        <w:t>est contredite par la pièce n o 102.</w:t>
      </w:r>
    </w:p>
    <w:p>
      <w:r>
        <w:rPr>
          <w:b/>
        </w:rPr>
        <w:t>E. 4.1</w:t>
      </w:r>
    </w:p>
    <w:p>
      <w:r>
        <w:t>Aux termes de l’art. 95 al. 3 let. c CPC, lorsqu’une partie n’a pas de représentant professionnel, les dépens comprennent une indemnité équitable pour les démarches effectuées, dans les cas où cela se justifie. Une indemnité équitable ne se justifie que si les démarches liées au procès sont d’une certaine ampleur, dépassant les procédés administratifs courants que tout un chacun doit accomplir sans en être indemnisé, les circonstances et la situation personnelle de l’intéressée devant être prises en compte. Pourrait ainsi être indemnisée la perte de gain subie par un indépendant (CREC 3 mars 2014/76).</w:t>
      </w:r>
    </w:p>
    <w:p>
      <w:r>
        <w:rPr>
          <w:b/>
        </w:rPr>
        <w:t>E. 4.2</w:t>
      </w:r>
    </w:p>
    <w:p>
      <w:r>
        <w:t>En l’espèce, on ne discerne aucune circonstance qui justifierait l’octroi d’une indemnité équitable et l’appelante n’articule aucun moyen à cet égard. 5. En définitive, l’appel doit être rejeté en application de l’art. 312 al. 1 CPC et l’ordonnance querellée confirmée. Les frais judiciaires de deuxième instance, arrêtés à 100 fr. (art. 69 al. 1 TFJC par renvoi de l’art. 62 al. 3 TFJC [tarif des frais judiciaires civils du 28 septembre 2010, RSV 270.11.5]), seront mis à la charge de l’appelante, qui succombe (art. 106 al. 1 CPC). Il n’y a pas matière à l’allocation de dépens de deuxième instance, les intimés n’ayant pas été invités à se déterminer.</w:t>
      </w:r>
    </w:p>
    <w:p>
      <w:r>
        <w:rPr>
          <w:b/>
        </w:rPr>
        <w:t>E. 8</w:t>
      </w:r>
    </w:p>
    <w:p>
      <w:r>
        <w:t>CC (Code civil suisse du 10 décembre 1907, RS 210) s’applique en principe également lorsque la preuve porte sur des faits négatifs. Cette exigence est toutefois tempérée par les règles de la bonne foi qui obligent le défendeur à coopérer à la procédure probatoire, notamment en offrant la preuve du contraire (ATF 106 II 31 c. 2 et les arrêts cités). L’obligation, faite à la partie adverse, de collaborer à l’administration de la preuve, même si elle découle du principe général de la bonne foi (art. 2 CC), est de nature procédurale et est donc exorbitante du droit fédéral – singulièrement de l’art.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Il 305 c.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