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867 vom 6. November 2014</w:t>
      </w:r>
    </w:p>
    <w:p>
      <w:r>
        <w:t>VD Tribunal cantonal, 2014-11-06, FR</w:t>
      </w:r>
    </w:p>
    <w:p>
      <w:r>
        <w:rPr>
          <w:b/>
        </w:rPr>
        <w:t xml:space="preserve">Quelle: </w:t>
      </w:r>
      <w:r>
        <w:t>https://mcp.opencaselaw.ch/entscheid/vd_findinfo_HC___2014___867</w:t>
      </w:r>
    </w:p>
    <w:p>
      <w:r>
        <w:t>FR: VD_FINDINFO HC / 2014 / 867 du 6 novembre 2014</w:t>
      </w:r>
    </w:p>
    <w:p>
      <w:r>
        <w:t>IT: VD_FINDINFO HC / 2014 / 867 del 6 novembre 2014</w:t>
      </w:r>
    </w:p>
    <w:p>
      <w:pPr>
        <w:pStyle w:val="Heading2"/>
      </w:pPr>
      <w:r>
        <w:t>Regeste</w:t>
      </w:r>
    </w:p>
    <w:p>
      <w:r>
        <w:t>MESURE DE CONTRAINTE{DROIT DES ÉTRANGERS}, DÉTENTION AUX FINS D'EXPULSION | 76 al. 1 let. b ch. 3 LEtr, 76 al. 1 let. b ch. 4 LEtr, 78 LEtr</w:t>
      </w:r>
    </w:p>
    <w:p>
      <w:pPr>
        <w:pStyle w:val="Heading2"/>
      </w:pPr>
      <w:r>
        <w:t>Erwägungen</w:t>
      </w:r>
    </w:p>
    <w:p>
      <w:r>
        <w:rPr>
          <w:b/>
        </w:rPr>
        <w:t>E. 1</w:t>
      </w:r>
    </w:p>
    <w:p>
      <w:r>
        <w:t>Selon l’art. 30 al. 1 LVLEtr (loi du 18 décembre 2007 d’application dans le canton de Vaud de la législation fédérale sur les étrangers ; RSV 142.11), le recours au Tribunal cantonal est ouvert contre la décision du juge de paix statuant sur la prolongation de la détention en phase préparatoire, en vue du renvoi ou de l’expulsion, ainsi que de la détention pour insoumission telle que prévue par l’art. 20 al. 1 ch. 4 LVLEtr. Il est de la compétence de la Chambre des recours civile (art. 71 et 73 al. 1 LOJV [loi vaudoise du 12 septembre 1979 d'organisation judiciaire ; RSV 173.01] et art. 18 al. 3 let. c ROTC [règlement organique du Tribunal cantonal du 13 novembre 2007 ; RSV 173.31.1]). Interjeté dans les dix jours dès la notification de la décision attaquée, le recours est recevable (art. 30 al. 2 LVLEtr).</w:t>
      </w:r>
    </w:p>
    <w:p>
      <w:r>
        <w:rPr>
          <w:b/>
        </w:rPr>
        <w:t>E. 2</w:t>
      </w:r>
    </w:p>
    <w:p>
      <w:r>
        <w:t>Le juge de paix du district de Lausanne est l’autorité compétente en vertu des art. 17 et 20 LVLEtr. Il a été saisi d’une requête motivée et documentée du SPOP du 25 septembre 2014. II a procédé à l’audition du recourant et a résumé ses déclarations dans ce qu’elles avaient d’utile (art. 21 al. 1 et 2 LVLEtr). La procédure suivie a ainsi été régulière, ce dont le recourant ne disconvient pas. La Chambre des recours civile revoit librement la décision de première instance. Elle établit les faits d’office et peut ordonner à cet effet toutes les mesures d’instruction qu’elle juge utiles (art. 31 aI. 1 et 3 LVLEtr). Elle peut en particulier tenir compte des faits postérieurs à la décision attaquée.</w:t>
      </w:r>
    </w:p>
    <w:p>
      <w:r>
        <w:rPr>
          <w:b/>
        </w:rPr>
        <w:t>E. 3</w:t>
      </w:r>
    </w:p>
    <w:p>
      <w:r>
        <w:t>a) Le recourant invoque en premier lieu une violation de l’art. 76 aI. 1 let. b LEtr (loi fédérale du 16 décembre 2005 sur les étrangers ; RS 142.20). b) Aux termes de l’art. 78 LEtr (détention pour insoumission), si l’étranger n’a pas obtempéré à l’injonction de quitter la Suisse dans le délai prescrit et que la décision exécutoire de renvoi ou d’expulsion ne peut être exécutée en raison de son comportement, il peut être placé en détention afin de garantir qu’il quittera effectivement le pays, pour autant que les conditions de la détention en vue du renvoi ou de l’expulsion ne soient pas remplies et qu’il n’existe pas d’autre mesure moins contraignante susceptible de conduire à l’objectif visé (al. 1). La détention peut être ordonnée pour une période d’un mois. Moyennant le consentement de l’autorité judiciaire cantonale et dans la mesure où l’étranger n’est pas disposé à modifier son comportement et à quitter le pays, elle peut être prolongée de deux mois en deux mois. L’art. 79 demeure réservé (aI. 2). La détention et sa prolongation sont ordonnées par l’autorité du canton qui exécute le renvoi ou l’expulsion. Lorsque l’étranger se trouve déjà en détention en vertu des art. 75 à 77, il peut y être maintenu, pour autant que les conditions visées à l’al. 1 soient remplies (al. 3). Le premier ordre de détention doit être examiné dans un délai de 96 heures par une autorité judiciaire au terme d’une procédure orale. A la demande de l’étranger détenu, la prolongation de la détention doit être examinée dans un délai de huit jours ouvrables par une autorité judiciaire au terme d’une procédure orale. Le pouvoir d’examen est régi par l’art. 80 al. 2 et 4 (al. 4). Les conditions de détention sont régies par l’art. 81 (al. 5). La détention est levée dans les cas prévus à l’al. 6. Selon l’art. 76 al. 1 let. b LEtr (détention en vue du renvoi ou de l’expulsion),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w:t>
      </w:r>
    </w:p>
    <w:p>
      <w:r>
        <w:rPr>
          <w:b/>
        </w:rPr>
        <w:t>E. 8</w:t>
      </w:r>
    </w:p>
    <w:p>
      <w:r>
        <w:t>al. 1 let. a ou al. 4 LAsi (loi sur l’asile du 16 juin 1998 ;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 TF 2C_984/2010 du 20 janvier 2011 c. 2 ; TF 2C_206/2009 du 29 avril 2009 c. 4.1). c) En l’espèce, le recourant n’a pas donné suite à l’ordre de quitter la Suisse après l’entrée en force de la décision de l’ODM du 20 janvier 2010, bien qu’il ait été averti qu’il ferait l’objet de mesures de contrainte s’il ne le faisait pas. Il n’a pas réclamé le pli recommandé du SPOP du 8 novembre 2011 le convoquant à un entretien et il a refusé d’embarquer sur un vol retour pour [...] le 24 septembre 2014. De plus, le recourant a fait l’objet de six ordonnances pénales depuis son arrivée en Suisse, principalement pour infractions à la LStup. Il n’a pas d’attaches familiales en Suisse, ce qui rend plus facile la soustraction au renvoi par le passage à la clandestinité. L’ensemble de ces éléments constitue un faisceau d’indices faisant apparaître que le recourant entend se soustraire à son renvoi, de sorte que sa détention administrative est fondée au sens de l’art. 76 al. 1 let. b ch. 3 et 4 LEtr. L’art. 78 LEtr ne trouve par conséquent pas application, dès lors que les conditions de l’art. 76 al. 1 let. b ch. 3 et 4 LEtr sont remplies, comme exposé dans le précédent paragraphe. Le premier grief du recourant est ainsi infondé. 4. a) Le recourant fait valoir qu’il est homosexuel et qu’un renvoi dans son pays l’exposerait à une grave mise en danger. b) Selon l’art. 80 al. 6 let. a LEtr, la détention est levée lorsque le motif de détention n’existe plus ou l’exécution du renvoi ou de l’expulsion s’avère impossible pour des raisons juridiques ou matérielles. Selon la jurisprudence, le juge de la détention est lié par la décision de renvoi, en particulier lorsqu’elle a été rendue dans le cadre d’une procédure d’asile. Au demeurant,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Cependant, il appartient en priorité à l’autorité compétente en matière d’asile de décider si le renvoi est exigible, le juge de la détention ne pouvant intervenir que si le caractère inexécutable de la décision de renvoi est patent (ATF 128 II 193 c. 2.2.2 ; TF 2C_256/2013 du 10 avril 2013 c. 4.5 ; TF 2C_35/2009 du 13 février 2009 c. 6.2 ; TF 2C_445/2007 du 30 octobre 2007 c. 4.2 ; TF 2A_47/2007 du 18 avril 2007 c. 2.3). c) En l’espèce, contrairement à ce que soutient le recourant, son homosexualité ne constitue pas un motif d’impossibilité de renvoi au sens de l’art. 80 al. 6 let. a LEtr. En particulier, il se borne à répéter les risques qu’il a allégués dans le cadre de la procédure d’asile et qui ont été écartés dans la décision rendue par l’ODM le 23 octobre 2008. Il n’y a pas lieu d’y revenir et il faut constater qu’aucun motif ne s’oppose au renvoi de l’intéressé. 5. A cela s’ajoute que le principe de proportionnalité est respecté, dès lors que le refoulement du recourant pourra manifestement être exécuté avant l’échéance du délai maximal de détention de dix-huit mois prévu par la loi. 6. Au vu de ce qui précède, le recours doit être rejeté et l’ordonnance entreprise confirmée. L’arrêt peut être rendu sans frais (art. 50 LPA-VD [loi vaudoise du 28 octobre 2008 sur la procédure administrative ; RSV 173.36]).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l’avocat Olivier Boschetti a produit une liste d’opérations faisant état de quatre heures de travail. Il n’a invoqué aucun débours, de sorte qu’un montant forfaitaire de 50 fr. lui sera alloué. Au tarif horaire de 180 fr. (art. 2 al. 1 let. a RAJ [règlement du 7 décembre 2010 sur l'assistance judiciaire en matière civile ; RSV 211.02.3] par analogie), l’indemnité d’honoraires doit être fixée à 777 fr. 60, soit 720 fr. plus 57 fr. 60 de TVA au taux de 8 %, et les débours à 54 fr., TVA comprise, soit au total 831 fr. 60. Par ces motifs, la Chambre des recours civile du Tribunal cantonal, statuant à huis clos, prononce : I. Le recours est rejeté. II. L’ordonnance est confirmée. III. L’arrêt est rendu sans frais judiciaires. IV. L’indemnité de Me Olivier Boschetti, conseil d’office du recourant, est arrêtée à 831 fr. 60 (huit cent trente et un francs et soixante centimes), TVA comprise. V. L'arrêt motivé est exécutoire. Le président :               La greffière : Du 7 novembre 2014 Le dispositif de l'arrêt qui précède est communiqué par écrit aux intéressés. La greffière : Du L'arrêt qui précède, dont la rédaction a été approuvée à huis clos, est notifié en expédition complète, par l'envoi de photocopies, à : ‑ Me Olivier Boschetti (pour P.________) ‑ Service de la population, départs et mesures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