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856 vom 27. August 2014</w:t>
      </w:r>
    </w:p>
    <w:p>
      <w:r>
        <w:t>VD Tribunal cantonal, 2014-08-27, FR</w:t>
      </w:r>
    </w:p>
    <w:p>
      <w:r>
        <w:rPr>
          <w:b/>
        </w:rPr>
        <w:t xml:space="preserve">Quelle: </w:t>
      </w:r>
      <w:r>
        <w:t>https://mcp.opencaselaw.ch/entscheid/vd_findinfo_HC___2014___856</w:t>
      </w:r>
    </w:p>
    <w:p>
      <w:r>
        <w:t>FR: VD_FINDINFO HC / 2014 / 856 du 27 août 2014</w:t>
      </w:r>
    </w:p>
    <w:p>
      <w:r>
        <w:t>IT: VD_FINDINFO HC / 2014 / 856 del 27 agosto 2014</w:t>
      </w:r>
    </w:p>
    <w:p>
      <w:pPr>
        <w:pStyle w:val="Heading2"/>
      </w:pPr>
      <w:r>
        <w:t>Regeste</w:t>
      </w:r>
    </w:p>
    <w:p>
      <w:r>
        <w:t>MODÉRATION, HONORAIRES, AVOCAT | 50 al. 1 LPAv, 51 LPAv</w:t>
      </w:r>
    </w:p>
    <w:p>
      <w:pPr>
        <w:pStyle w:val="Heading2"/>
      </w:pPr>
      <w:r>
        <w:t>Erwägungen</w:t>
      </w:r>
    </w:p>
    <w:p>
      <w:r>
        <w:rPr>
          <w:b/>
        </w:rPr>
        <w:t>E. 1</w:t>
      </w:r>
    </w:p>
    <w:p>
      <w:r>
        <w:t>Aux termes de l'art. 51 LPAv (loi sur la profession d'avocat du 24 septembre 2002 ; RSV 177.11), la décision de modération peut faire l'objet d'un recours à la Cour de modération, conformément à la loi d'organisation judiciaire. Le délai de recours est de trente jours dès la notification de la décision et la procédure est fixée par la LPA-VD (loi sur la procédure administrative du 28 octobre 2008, RSV 173.36). Selon l'art. 73 al. 2 LOJV (loi d'organisation judiciaire du 12 septembre 1979 ; RSV 173.01), la Chambre des recours civile du Tribunal cantonal est compétente. Selon l'art. 79 LPA-VD, par renvoi de l'art. 99 LPA-VD, l'acte de recours doit être signé et indiquer les conclusions et motifs du recours (Jomini, Les honoraires et débours de l’avocat vaudois et leur modération, in JT 1982 III 2 ss, n° 4 p. 4). Interjeté en temps utile, motivé et signé par une partie qui a un intérêt digne de protection (art. 75 LPA-VD), le recours est recevable.</w:t>
      </w:r>
    </w:p>
    <w:p>
      <w:r>
        <w:rPr>
          <w:b/>
        </w:rPr>
        <w:t>E. 2</w:t>
      </w:r>
    </w:p>
    <w:p>
      <w:r>
        <w:t>Le recourant peut invoquer la violation du droit, y compris l’excès ou l’abus du pouvoir d’appréciation et la constatation inexacte ou incomplète de faits pertinents (art. 98 LPA-VD). La Chambre des recours civile dispose d’un libre pouvoir d’examen en fait et en droit (JT 2006 III 38 c. 2a ; JT 2003 III 67 c. 1d). En cas d’admission du recours, elle réforme la décision attaquée ou l’annule ; s’il y a lieu, elle renvoie l’affaire à l’autorité intimée (art. 90 LPA-VD, applicable par renvoi de l’art. 99 LPA-VD).</w:t>
      </w:r>
    </w:p>
    <w:p>
      <w:r>
        <w:rPr>
          <w:b/>
        </w:rPr>
        <w:t>E. 3</w:t>
      </w:r>
    </w:p>
    <w:p>
      <w:r>
        <w:t>L’appelant conteste la durée de l’entretien du 12 mars 2014, soutenant qu’il n’a duré que 10 minutes. Il fait valoir que l’intimé connaissait déjà sa situation, ayant concouru à l’envoi d’une lettre au CSR et qu’il avait été convenu que le recourant préparerait le recours, l’intimé ne faisant que corriger le projet. Toutefois, avec le premier juge, il faut considérer qu’il est douteux que l’entretien avec le client nécessaire à la rédaction d’un recours administratif n’ait duré que 10 minutes. La copie du courriel produite par le recourant en deuxième instance est à cet égard sans portée, dès lors que ce courriel est daté du 12 mai 2013, et qu’il ne permet pas de déduire quoi que ce soit en relation avec la conférence du 12 mars 2014, qui s’est tenue près d’une année plus tard. L’argumentation du recourant, quant à elle, ne permet pas de remettre en cause la durée de 40 minutes mentionnée dans la note d’honoraires litigieuse, dès lors que cette dernière durée paraît plus conforme au cours ordinaire des choses, s’agissant qui plus est du seul entretien avant la rédaction du projet de recours, l’ensemble des opérations ayant duré un peu plus de deux heures, ce qui est raisonnable.</w:t>
      </w:r>
    </w:p>
    <w:p>
      <w:r>
        <w:rPr>
          <w:b/>
        </w:rPr>
        <w:t>E. 4</w:t>
      </w:r>
    </w:p>
    <w:p>
      <w:r>
        <w:t>Le recourant réclame le paiement par l’intimé de la différence entre le montant de 1'000 fr. déjà versé et le montant de la note d’honoraires litigieuse. Toutefois, la procédure de modération porte sur la fixation des honoraires de l’avocat (art. 50 al. 1 LPAv) et non sur leur paiement, domaine qui relève du juge ordinaire, de sorte que la conclusion du recourant en paiement est irrecevable.</w:t>
      </w:r>
    </w:p>
    <w:p>
      <w:r>
        <w:rPr>
          <w:b/>
        </w:rPr>
        <w:t>E. 5</w:t>
      </w:r>
    </w:p>
    <w:p>
      <w:r>
        <w:t>Le recourant requiert que les frais de première instance, par 114 fr. soient mis à la charge de l’intimé. Toutefois, la note d’honoraires de l’intimé a été confirmée tant en première qu’en deuxième instance, de sorte qu’on ne saurait mettre ces frais à la charge de celui-ci.</w:t>
      </w:r>
    </w:p>
    <w:p>
      <w:r>
        <w:rPr>
          <w:b/>
        </w:rPr>
        <w:t>E. 6</w:t>
      </w:r>
    </w:p>
    <w:p>
      <w:r>
        <w:t>En conclusion, le recours doit être rejeté selon le mode procédural de l’art. 322 al. 1 CPC et le prononcé confirmé. Les frais judiciaires de deuxième instance, arrêtés à 150 fr. (art. 75 TFJC [tarif du 28 septembre 2010 des frais judiciaires civils; RSV 270.11.5]), sont, vu le rejet du recours, mis à la charge du recourant (art. 49 al. 1 et 51 al. 1 LPA-VD),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M.________. IV. L’arrêt motivé est exécutoire. Le président :               Le greffier : Du 27 août 2014 Le dispositif de l'arrêt qui précède est communiqué par écrit aux intéressés. Le greffier : Du L'arrêt qui précède, dont la rédaction a été approuvée à huis clos, est notifié en expédition complète, par l'envoi de photocopies, à : ‑ M. M.________, ‑ 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avocats.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