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85 vom 12. März 2014</w:t>
      </w:r>
    </w:p>
    <w:p>
      <w:r>
        <w:t>VD Tribunal cantonal, 2014-03-12, FR</w:t>
      </w:r>
    </w:p>
    <w:p>
      <w:r>
        <w:rPr>
          <w:b/>
        </w:rPr>
        <w:t xml:space="preserve">Quelle: </w:t>
      </w:r>
      <w:r>
        <w:t>https://mcp.opencaselaw.ch/entscheid/vd_findinfo_HC___2014___85</w:t>
      </w:r>
    </w:p>
    <w:p>
      <w:r>
        <w:t>FR: VD_FINDINFO HC / 2014 / 85 du 12 mars 2014</w:t>
      </w:r>
    </w:p>
    <w:p>
      <w:r>
        <w:t>IT: VD_FINDINFO HC / 2014 / 85 del 12 marzo 2014</w:t>
      </w:r>
    </w:p>
    <w:p>
      <w:pPr>
        <w:pStyle w:val="Heading2"/>
      </w:pPr>
      <w:r>
        <w:t>Regeste</w:t>
      </w:r>
    </w:p>
    <w:p>
      <w:r>
        <w:t>MÉDECIN, PATIENT, MANDAT, DEVOIR PROFESSIONNEL, FAUTE PROFESSIONNELLE, EXÉCUTION DE L'OBLIGATION, ACTION EN RESPONSABILITÉ, RESPONSABILITÉ CONTRACTUELLE, DÉCISION INCIDENTE | 321e CO, 394 CO, 398 al. 2 CO, 97 CO, 237 CPC (CH)</w:t>
      </w:r>
    </w:p>
    <w:p>
      <w:pPr>
        <w:pStyle w:val="Heading2"/>
      </w:pPr>
      <w:r>
        <w:t>Erwägungen</w:t>
      </w:r>
    </w:p>
    <w:p>
      <w:r>
        <w:rPr>
          <w:b/>
        </w:rPr>
        <w:t>E. 1</w:t>
      </w:r>
    </w:p>
    <w:p>
      <w:r>
        <w:t>CPC, la décision partielle, prise à des fins de "simplification du procès" au sens de l'art. 125 CPC – qui permet de limiter la procédure à des questions ou des conclusions déterminées (art. 125 let. a CPC) –, est attaquable immédiatement, sous peine de péremption du droit d'appel ou de recours, au même titre qu'une décision finale (Jeandin, CPC commenté, 2011, n. 8 ad art. 308 CPC). Il convient encore de distinguer la décision partielle de la décision incidente, au sens de l'art. 237 al. 1 CPC. Entre dans cette notion la décision rendue à titre incident ou préjudiciel lorsque l'instance de recours pourrait prendre une décision contraire qui mettrait fin au procès et permettrait de réaliser une économie de temps ou de frais appréciable. A titre d'exemple, on peut citer la question de la prescription du droit allégué ou celle du principe de la responsabilité de la partie défenderesse (cf. Message relatif au CPC, FF 2006 p. 6951; Staehelin, in Sutter‑Somm/Hasenböhler/Leuenberger (éd.), Kommentar zur Schweizerischen Zivilprozessordnung, 2010, n. 9 ss ad art. 237; Oberhammer, Basler Kommentar, Schweizerische Zivilprozessordnung, 2010, n. 2 ss ad art. 237 CPC; Jeandin, op. cit., n. 9 ad art. 308 CPC; voir également les exemples cités par Poudret/Haldy/Tappy, Procédure civile vaudoise, 3 e éd., 2002, n. 1 ad art. 285 CPC-VD). b) En l'espèce, la décision attaquée n'est ni finale, ni même partielle. En particulier, l'autorité de première instance n'a pas tranché de manière définitive un chef de conclusion ou une partie de l'objet du litige qui serait indépendant de celle qui reste à juger (Corboz et al., Commentaire de la LTF, Berne 2009, nn. 11 ss ad art. 91 LTF). Il s'agit donc en l'occurrence d'une décision incidente qui se rapporte à une question de droit matériel (cf. Staehelin, op. cit., n. 7 ad art. 237). En cas d'admission de l'appel, la demande de l'intimée serait rejetée et il serait ainsi mis fin au procès. Le jugement rendu le 30 janvier 2013 par la Chambre patrimoniale cantonale est dès lors directement attaquable en appel. Déposé au surplus dans les délais par une partie qui y a intérêt (art. 59 CPC), l'appel est recevable en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w:t>
      </w:r>
    </w:p>
    <w:p>
      <w:r>
        <w:rPr>
          <w:b/>
        </w:rPr>
        <w:t>E. 3</w:t>
      </w:r>
    </w:p>
    <w:p>
      <w:r>
        <w:t>a) L'appelante reproche aux premiers juges d'être sortis du cadre de l'instruction défini par l'ordonnance de preuves du 24 septembre 2012 et qui consistait à déterminer si le principe de sa responsabilité médicale pouvait être admis; selon elle, les premiers juges ont en effet retenu des faits portant sur les questions du dommage et du lien de causalité et se sont prononcés sur ces questions dans leurs considérants. Ils auraient en cela préjugé. Conformément à l'art. 125 CPC, la juge déléguée de première instance a décidé, dans son ordonnance de preuves du 24 septembre 2012, de limiter la procédure à la question de la responsabilité de l'appelante, partant de trancher une question préjudicielle permettant de mettre un terme au procès. Or, comme retenu à juste titre par les premiers juges, examiner cette question impliquait d'établir si les trois conditions cumulatives de la responsabilité contractuelle – à savoir la violation du mandat, le préjudice et le lien de causalité – étaient réalisées. A suivre l'appelante, seule la question de la violation du contrat de soin, soit une des conditions de la responsabilité contractuelle, aurait dû être examinée par les premiers juges. Cette interprétation de l'ordonnance de preuves ne peut être suivie. En limitant l'instruction à la question de la responsabilité de l'appelante, la juge déléguée entendait ne pas instruire la question de la quotité de l'éventuel dommage de l'intimée, pratique courante dans les litiges où cette question implique une instruction conséquente et l'éventuelle mise en œuvre d'une expertise judiciaire. En procédant à un examen de l'ensemble des conditions de la responsabilité contractuelle de l'appelante, les premiers juges n'ont ainsi pas dépassé le cadre de l'ordonnance de preuves, ni préjugé. b) L'appelante se plaint pour la première fois en appel que les Dr B.________, L.________, D.________ et Q.________ ont été entendus en qualité de "témoin" et non de "témoin-expert" comme indiqué dans l'ordonnance de preuves. Elle n'a cependant pas évoqué cette problématique à l'audience de jugement, alors qu'elle a reçu, en audience, une copie des procès‑verbaux d'audition qui mentionnaient que ces médecins étaient entendus en qualité de "témoins". En réalité, cette problématique n'a que peu de portée pratique puisque la teneur même de la plupart des allégués soumis aux témoins étaient de nature technique et que seul leur fonction de médecin leur permettait d'y répondre. On peut ainsi considérer que leur audition présentait les caractéristiques d'un témoignage expertise. La question de l'appréciation de ces témoignages sera pour le surplus examinée ci-dessous.</w:t>
      </w:r>
    </w:p>
    <w:p>
      <w:r>
        <w:rPr>
          <w:b/>
        </w:rPr>
        <w:t>E. 4</w:t>
      </w:r>
    </w:p>
    <w:p>
      <w:r>
        <w:t>L'appelante conteste avoir violé les règles de l'art médical en ne diagnostiquant pas la spina bifida dont est atteint l'enfant R.________. Elle estime que sa responsabilité n'est ainsi pas engagée. a/aa) Il n'est pas contesté que les parties ont été liées par un mandat au sens des art. 394 ss CO (Code des obligations du 30 mars 1911; RS 220) (ATF 132 III 359 c. 3.1, JT 2006 I 295, SJ 2007 I 141). Aux termes de l'art. 398 al. 2 CO, le mandataire est responsable envers le mandant de la bonne et fidèle exécution du mandat; l'alinéa premier renvoie à l'art. 321e CO, qui, selon la doctrine dominante, reprend le régime général de l'art. 97 CO (Tercier/Favre/Conuz, Les contrats spéciaux, 4 e éd., 2009, nn. 5195 et 5418). Pour que la responsabilité du mandataire soit engagée, le mandant doit ainsi prouver l'existence d'une violation du mandat, d'un préjudice et d'un rapport de causalité naturelle et adéquate entre la violation du mandat et le préjudice (Tercier/Favre/Conuz, op. cit., nn. 5196 ss). Lorsque toutes ces conditions, qui sont cumulatives comme pour toute responsabilité (TF 4C.88/2004 du 2 juin 2004 c. 3.1), sont remplies, le médecin ne peut échapper à sa responsabilité que s'il prouve à son tour que sa méconnaissance des règles de l'art ne constitue pas une faute dans les circonstances de l'espèce (art. 97 CO; ATF 105 II 284 c. 1, JT 1980 I 169, SJ 1980 p. 407). a/ab) En sa qualité de mandataire, le médecin répond de la bonne et fidèle exécution du mandat.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La violation, par celui-ci, de son devoir de diligence – communément, mais improprement, appelée "faute professionnelle" – constitue, du point de vue juridique, une inexécution ou une mauvaise exécution de son obligation de mandataire et correspond ainsi, sur le plan contractuel, à la notion d'illicéité propre à la responsabilité délictuelle. Si elle occasionne un dommage au mandant et qu'elle se double d'une faute du médecin, le patient pourra obtenir des dommages-intérêts (art. 97 al. 1 CO). Comme n'importe quel autre mandataire, en particulier l'avocat (ATF 117 II 563 c. 2, JT 1993 I 156), le médecin répond en principe de toute faute; sa responsabilité n'est pas limitée aux seules fautes graves (ATF 133 III 121 c. 3.1; ATF 115 Ib 175 c. 2b, JT 1989 I 613; ATF 113 II 429 c. 3a, JT 1988 I 180 et les réf.). La notion de violation d'une obligation ("Pflichtverletzung") n'englobe cependant pas toutes les mesures et toutes les omissions qui – considérées a posteriori – auraient causé ou prévenu un dommage. Le médecin ne répond pas de tous les dangers et de tous les risques liés à un acte médical ou liés à la maladie elle-même. Il exerce une activité exposée à des dangers. Le droit de la responsabilité civile doit en tenir compte. Dans le diagnostic comme dans le choix d'une thérapie ou d'autres mesures, le médecin dispose souvent – selon l'état de la science considéré objectivement – d'une certaine marge d'appréciation. Celle-ci autorise un choix entre les différentes possibilités qui entrent en considération. Le choix relève de l'appréciation attentive du médecin. Celui-ci n'engage pas nécessairement sa responsabilité quant il n'a pas trouvé la solution qui était objectivement la meilleure lorsqu'on en juge a posteriori. Il ne manque à son devoir que si un diagnostic, une thérapie ou quelque autre acte médical est indéfendable dans l'état de la science et sort donc du cadre de l'art médical considéré objectivement. Le médecin ne répond d'une appréciation erronée que si celle-ci est indéfendable ou se fondait sur un examen objectivement insuffisant. Il ne répond pas d'échecs inévitables dans une profession où règnent des conceptions si différentes et variées (ATF 120 Ib 411, JT 1995 I 554 c. 4a). En règle générale, un juriste est incapable de savoir si le médecin a fait "ce qu'il fallait faire" dans un cas d'espèce. C'est à l'expert médical de déterminer et, par là, de trancher une question scientifique (Müller, La responsabilité civile du médecin, in Quelques actions en responsabilité, 2008, n. 17, p. 108). Lorsqu'une violation des règles de l'art est établie, il appartient au médecin de prouver qu'il n'a pas commis de faute (art. 97 al. 1 CO) (ATF 133 III 121 c. 3.1, SJ 2007 I 353, JT 2008 I 103). a/ac) Les règles de l'art constituent des principes établis par la science médicale, généralement reconnus et admis, communément suivis et appliqués par les praticiens (ATF 108 II 59 c. 1, SJ 1982 p. 531, rés. in JT 1982 I 285; ATF 64 II 200 c. 4a). Savoir si le médecin a violé son devoir de diligence est une question de droit; dire s'il existe une règle professionnelle communément admise, quel était l'état du patient et comment l'acte médical s'est déroulé relève du fait (ATF 133 III 121 c. 3.1, SJ 2007 I 353, JT 2008 I 103). b) En l'espèce, les premiers juges ont retenu que l'appelante avait violé les règles de l'art médical pour deux motifs: premièrement, en ne procédant pas à l'examen du diamètre transverse du cervelet, ainsi qu'en omettant de prendre une image des ventricules cérébraux, lors de l'examen morphologique de la vingtième semaine, opérations qui auraient dû être normalement faites à ce moment-là selon les recommandations de la Société suisse d'échographie; deuxièmement, en ne percevant pas le signal d'appel résultant de l'aplatissement des os frontaux ("lemon sign") qui aurait déjà dû, à lui seul, la conduire à examiner attentivement la colonne afin de détecter d'éventuelles lésions du rachis. Les premiers juges ont jugé les témoins B.________ et L.________ quelque peu empruntés lors de leur audition et estimé qu'ils "tenta[ie]nt manifestement d'éviter d'appuyer sur la tête de leur ancienne collègue". Cette appréciation ne ressort pas clairement des dépositions telles qu’elles ont été consignées au procès-verbal et la Cour de céans ne saurait la faire sienne sans procéder elle-même à l’audition des témoins-experts en vertu du principe d’immédiateté. Une nouvelle administration des preuves n’a cependant pas été requise et n’est d’ailleurs pas nécessaire. Les Drs L.________ et B.________ ont tous les deux travaillé avec l’appelante, le premier à une époque où il était médecin-cadre et le second lorsque celle-ci était encore médecin assistante. Ils pratiquent en outre les deux à Lausanne, comme l’appelante, respectivement comme médecin chef au CHUV et en cabinet privé. Dans ces circonstances et en raison de la proximité entre les témoins et l’appelante, leurs déclarations doivent être examinées avec retenue, comme cela a été fait par les premiers juges. Inversement, l'expertise extra-judiciaire de la FMH a un caractère contradictoire (cf. art. 2 et 15 du Règlement du bureau d’expertises de la FMH concernant l’expertise extrajudiciaire de cas de responsabilité civile du médecin du 1 er février 2002, in Bulletin des médecins suisses 2002, pp, 137 ss), qui lui confère une valeur probante élevée, à tout le moins en l'absence d'expertise judiciaire. Il est établi que l'appelante n'a pas, lors de l'examen morphologique, pris des mesures du cervelet et de la fosse postérieure et qu'elle n'a pas indiqué dans son rapport son appréciation relative aux ventricules latéraux. Les témoignages des Dr B.________, D.________ et L.________ sont concordants sur ce point. Ces deux derniers médecins s'accordent également sur le fait que ces examens auraient dû être faits par l'appelante lors de l'examen morphologique de la vingtième semaine, le Dr B.________ ayant confirmé quant à lui que ces mesures sont aujourd'hui faites systématiquement et font partie des recommandations de la Société suisse d'échographie. Or, ces examens, qui devaient être pratiqués indépendamment des résultats du test sanguin AFP, sont nécessaires pour effectuer un suivi de grossesse conformément aux règles de l'art. Ils font en effet partie de l'ensemble des tests et mesures que tout gynécologue doit pratiquer, indépendamment de l'existence d'éventuels autres éléments, pour déterminer si le fœtus présente des signes de spina bifida. La Dr D.________ relève d'ailleurs à ce sujet dans son expertise, qui reprend le contenu de la littérature médicale sur le sujet, que "si un examen attentif du crâne et des structures cérébelleuses est normal, le risque de passer à côté d'une lésion vertébrale sont faibles". Dans le cas présent, l'importance des examens manquants pour l'établissement d'un diagnostic de spina bifida est ainsi incontestable. Ne pas y avoir procédé est indéfendable dans l'état de la science et sort du cadre de l'art médical considéré objectivement. L'appelante soutient que l'absence de mention des mesures du cervelet dans son rapport ne signifie pas qu'elle ne les a pas faites durant l'échographie. Elle n'apporte cependant aucun élément qui tendrait à confirmer cette allégation. Le fait qu'il manque d'autres examens pratiqués normalement lors de l'échographie morphologique tend à démontrer qu'il y a bien eu omission fautive de procéder à ces examens. D'ailleurs, le Dr B.________ a indiqué que, s'il était possible d'apprécier l'état des ventricules latéraux sans photographie, il n'en allait pas de même s'agissant des mesures du cervelet et de la fosse postérieure. L'appelante échoue ainsi à établir qu'elle aurait procédé aux examens manquants. A cela s'ajoute, s'agissant de l’existence d’un éventuel "lemon sign" sur les clichés pris à la quatorzième et à la vingtième semaines, que le D.________ – qui certes ne pratique pas l’échographie en cabinet, pratique courante chez l’ensemble des obstétriciens genevois qui adressent leurs patientes au Centre d’échographie – a relevé un "lemon sign" sur ces deux clichés. Elle a admis ne pas être experte en échographie prénatale et a déclaré avoir soumis, dans le cadre de son expertise, les clichés à deux spécialistes qui partageaient son appréciation. Sur cette question précise et même s’il conteste le résultat de l’expertise, le Dr L.________ a déclaré que l’image était évocatrice d’un "lemon sign" mais n’en avait pas toutes les caractéristiques (courrier du 30 janvier 2003, pièce 110) puis a été plus modéré en audience en déclarant qu’il ne pensait pas que les images caractérisaient un "lemon sign". Le Dr B.________, quant à lui, a déclaré lors de son audition que les clichés ne correspondaient pas totalement à un "lemon sign" tel que décrit pas le Dr Nicolaides et qu’il y avait au plus un aplatissement discret des lobes frontaux. Les déclarations de ces trois médecins sont à tout le moins partiellement concordantes. S’ils ne sont pas tous aussi affirmatifs les uns que les autres, il ressort de leurs témoignages qu’il y avait sur les clichés une malformation cérébrale dont on ne pouvait exclure qu’elle soit révélatrice d’une spina bifida et qui nécessitait des investigations supplémentaires. Enfin, l'argument de l'appelante selon lequel l'échographie est un examen dynamique durant lequel le gynécologue opère certains choix qu'il est difficile de juger a posteriori n'est pas pertinent. Comme indiqué, l'appelante a omis de procéder à des examens indispensables, acte indéfendable dans l'état de la science, et elle a de ce fait violé les règles de l'art du suivi d'une grossesse. Le raisonnement des premiers juges sur ce point était dès lors bien fondé.</w:t>
      </w:r>
    </w:p>
    <w:p>
      <w:r>
        <w:rPr>
          <w:b/>
        </w:rPr>
        <w:t>E. 5</w:t>
      </w:r>
    </w:p>
    <w:p>
      <w:r>
        <w:t>Pour le surplus, comme indiqué ci-dessus (cf. c. 3a), c'est à juste titre que les premiers juges ont examiné les questions de l'existence d'un dommage et du lien de causalité entre la violation des règles de l'art médical par l'appelante et l'éventuel dommage. Leur argumentation, complète et convaincante, peut être confirmée par adoption de motifs. S'agissant de l'existence d'un dommage, il est admis, à la suite de l'arrêt rendu par le Tribunal fédéral s'agissant de la naissance d'un enfant en bonne santé non désiré ("wrongful conception") (ATF 132 III 359, JT 2006 I 395), que les dépenses encourues par les parents consécutivement à la naissance d'un enfant handicapé non désiré ("wrongful birth") constituent elles aussi un dommage dont la réparation peut être demandée (Müller, La responsabilité civile extracontractuelle, 2013, n. 118 ss; Werro, La responsabilité civile, 2 e éd., 2011, n. 69 ss, not. n. 72). En l'occurrence, l'intimée assume effectivement des dépenses à la suite de la naissance de l'enfant R.________. Il appartiendra aux premiers juges, dans un deuxième temps, d'établir qu'elles sont les dépenses que l'intimée peut faire valoir à titre de dommage. Quant à la question du lien de causalité, l'appelante reproche aux premiers juges d'avoir retenu, sans véritable instruction, qu'il était établi que l'intimée aurait avorté si elle avait su que son fils était atteint de spina bifida. Ce grief est en réalité sans pertinence. En effet, le lien de causalité doit en l'occurrence être établi entre la violation des règles de l'art médical et la perte pour l'intimée du choix de mettre au monde ou non un enfant handicapé, évènement qui a conduit à ce qu'elle doive assumer des frais d'entretien pour celui-ci (ATF 132 III 359, JT 2006 I 295 c. 3.1), indépendamment de savoir quel aurait été ce choix. Or, la violation des règles de l'art médical par l'appelante est bien la cause naturelle et adéquate des frais d'entretien que l'intimée assume actuellement, de sorte que les conditions cumulatives d'une responsabilité de l'appelante sont réunies, comme retenu à juste titre par les premiers juges.</w:t>
      </w:r>
    </w:p>
    <w:p>
      <w:r>
        <w:rPr>
          <w:b/>
        </w:rPr>
        <w:t>E. 6</w:t>
      </w:r>
    </w:p>
    <w:p>
      <w:r>
        <w:t>Au vu de ce qui précède, l'appel doit être rejeté et le jugement entrepris confirmé. Les frais judiciaires de deuxième instance, arrêtés à 15'000 fr. (art. 95 al. 1 et 2, 104 al. 1 et 105 al. 1 CPC; art. 6 al. 3 et 62 al. 1 et 2 TFJC [tarif des frais judiciaires civils du 28 septembre 2010; RSV 270.11.5]), sont mis à la charge de l'appelante, qui succombe (art. 106 al. 1 CPC). L'intimée ne disposant pas des ressources nécessaires pour assurer la défense de ses intérêts et sa cause n'étant pas dépourvue de chance de succès, sa requête d'assistance judiciaire est admise pour la procédure d'appel (art. 117 CPC). Me Laurent Damond a produit une liste détaillée de ses opérations faisant état de dix heures et trente-deux minutes de travail et d'un montant de 94 fr. 80 de débours. Ce décompte peut être admis, de sorte qu'il y a lieu d'arrêter l'indemnité d'office à un montant de 1'890 fr., auquel s'ajoutent la TVA par 151 fr. 20 et les débours par 94 fr. 80, soit à un total de 2'136 francs. La bénéficiaire de l’assistance judiciaire est, dans la mesure de l’art. 123 CPC, tenue au remboursement de l’indemnité au conseil d’office mis à la charge de l’Etat. L'appelante doit verser à l'intimée la somme de 4'000 fr. à titre de dépens de deuxième instance (art. 95 al. 1, 106 al. 1 et 111 al. 2 CPC; art. 3 al. 1 et 2 et 7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