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848 vom 10. Oktober 2014</w:t>
      </w:r>
    </w:p>
    <w:p>
      <w:r>
        <w:t>VD Tribunal cantonal, 2014-10-10, FR</w:t>
      </w:r>
    </w:p>
    <w:p>
      <w:r>
        <w:rPr>
          <w:b/>
        </w:rPr>
        <w:t xml:space="preserve">Quelle: </w:t>
      </w:r>
      <w:r>
        <w:t>https://mcp.opencaselaw.ch/entscheid/vd_findinfo_HC___2014___848</w:t>
      </w:r>
    </w:p>
    <w:p>
      <w:r>
        <w:t>FR: VD_FINDINFO HC / 2014 / 848 du 10 octobre 2014</w:t>
      </w:r>
    </w:p>
    <w:p>
      <w:r>
        <w:t>IT: VD_FINDINFO HC / 2014 / 848 del 10 ottobre 2014</w:t>
      </w:r>
    </w:p>
    <w:p>
      <w:pPr>
        <w:pStyle w:val="Heading2"/>
      </w:pPr>
      <w:r>
        <w:t>Regeste</w:t>
      </w:r>
    </w:p>
    <w:p>
      <w:r>
        <w:t>DÉPENS, AGENT D'AFFAIRES, DISPROPORTION, EXPULSION DE LOCATAIRE | 257d CO, 110 CPC (CH), 319 let. b ch. 2 CPC (CH), 11 TDC, 20 al. 2 TDC</w:t>
      </w:r>
    </w:p>
    <w:p>
      <w:pPr>
        <w:pStyle w:val="Heading2"/>
      </w:pPr>
      <w:r>
        <w:t>Erwägungen</w:t>
      </w:r>
    </w:p>
    <w:p>
      <w:r>
        <w:rPr>
          <w:b/>
        </w:rPr>
        <w:t>E. 1</w:t>
      </w:r>
    </w:p>
    <w:p>
      <w:r>
        <w:t>L’art. 319 let. b ch. 1 CPC ouvre la voie du recours contre les décisions et ordonnances d’instruction de première instance pour lesquelles un recours est expressément prévu par la loi. Tel est le cas en l’espèce, l’art. 110 CPC prévoyant que la décision sur les frais, lesquels comprennent les frais judiciaires et les dépens (art. 95 al. 1 CPC), ne peut être attaquée séparément que par un recours. Rendue en procédure sommaire (art. 339 al. 2 CPC), la décision litigieuse est soumise à un délai de recours de dix jours (art. 321 al. 2 CPC). Le recours, écrit et motivé, est introduit auprès de l’instance de recours (art. 321 al. 1 CPC), soit la Chambre des recours civile (art. 73 al. 1 LOJV [loi vaudoise d’organisation judiciaire du 12 décembre 1979; RSV 173.01]). Formé en temps utile par une partie qui y a un intérêt (art. 59 al. 2 let. a CPC), le recours est recevable.</w:t>
      </w:r>
    </w:p>
    <w:p>
      <w:r>
        <w:rPr>
          <w:b/>
        </w:rPr>
        <w:t>E. 2</w:t>
      </w:r>
    </w:p>
    <w:p>
      <w:r>
        <w:t>Le recours est recevable pour violation du droit et constatation manifestement inexacte des faits (art. 320 CPC). Pour ce qui est de la constatation manifestement inexacte des faits, ce grief, comme pour l’art. 97 al. 1 LTF, ne permet que de corriger une erreur évidente, la notion se recoupant en définitive avec l’appréciation arbitraire des preuves (Jeandin, CPC commenté, Bâle 2011, n. 5 et 6 ad art. 320 CPC; Corboz et alii, Commentaire de la LTF, Berne 2009, n. 19 ad art. 97). L’autorité de recours dispose d’un plein pouvoir d’examen s’agissant de la violation du droit (Spühler, Basler Kommentar, Bâle 2013, n. 26 ad art. 319 CPC). Elle revoit librement les questions de droit soulevées par le recourant et peut substituer ses propres motifs à ceux de l’autorité précédente ou du recourant (HohI, Procédure civile, tome Il, 2 e éd., Berne 2010, n. 2508, p. 452).</w:t>
      </w:r>
    </w:p>
    <w:p>
      <w:r>
        <w:rPr>
          <w:b/>
        </w:rPr>
        <w:t>E. 3</w:t>
      </w:r>
    </w:p>
    <w:p>
      <w:r>
        <w:t>let. b) au sens de l’art. 68 CPC. Ils sont fixés selon le tarif du 23 novembre 2010 des dépens en matière civile (TDC) : dans les contestations portant sur des affaires patrimoniales, le défraiement est fixé selon le type de procédure et la valeur litigieuse en considération, compte tenu de l’importance de la cause, de ses difficultés, de l’ampleur du travail et du temps consacré par l’avocat ou l’agent d’affaires breveté (art. 3 al. 2 TDC). Selon l’art. 11 TDC, applicable aux agents d’affaires brevetés en première instance en matière de procédure sommaire, le défraiement est notamment de 1'125 fr. à 4’500 fr. pour une valeur litigieuse comprise entre 30'001 et 100'000 francs. En cas de litige portant sur la résiliation d'un bail, la valeur litigieuse, calculée selon le droit fédéral (art. 91 et 92 CPC), est égale au loyer de la période minimum pendant laquelle le contrat subsiste si la résiliation n’est pas valable, période qui s’étend jusqu’à la date pour laquelle un nouveau congé aurait pu être donné. En principe, la durée déterminante pour le calcul de la valeur litigieuse ne saurait être inférieure à la période de trois ans pendant laquelle l’art. 271a al. 1 let. e CO consacre l’annulabilité d’une résiliation (JT 2011 III 83 et les références citées ; CREC 6 août 2014/275, CREC 12 février 2014/56, CREC 18 novembre 2013/381).</w:t>
      </w:r>
    </w:p>
    <w:p>
      <w:r>
        <w:rPr>
          <w:b/>
        </w:rPr>
        <w:t>E. 3.1</w:t>
      </w:r>
    </w:p>
    <w:p>
      <w:r>
        <w:t>La recourante conteste la quotité des dépens que lui a alloués le juge de première instance. Compte tenu de la valeur litigieuse de la cause, estimée à 48'960 fr., elle soutient que le défraiement de son conseil devrait se situer dans la fourchette comprise entre 1'125 fr. et 4'500 fr. pour une valeur litigieuse de 30’001 à 100'000 fr. (art. 11 TDC). Selon la recourante, la fourchette inférieure du tarif apparaît en l’occurrence correspondre au temps effectif consacré au dossier, sans disproportion manifeste, si bien que les dépens devraient être arrêtés à 1'125 fr., débours non compris.</w:t>
      </w:r>
    </w:p>
    <w:p>
      <w:r>
        <w:rPr>
          <w:b/>
        </w:rPr>
        <w:t>E. 3.2</w:t>
      </w:r>
    </w:p>
    <w:p>
      <w:r>
        <w:t>Les frais, qui comprennent les frais judiciaires et les dépens (art. 95 al. 1 CPC), sont fixés selon un tarif édicté par les cantons conformément à l’art. 96 CPC. Dans le canton de Vaud, le tarif des frais est arrêté par le Tribunal cantonal (art. 37 al. 1 CDPJ [Code de droit privé judiciaire vaudois du 12 janvier 2010 ; RSV 211.02]). En règle générale, la partie succombante (art. 106 al. 1 CPC) est tenue de verser à la partie qui a obtenu gain de cause, selon le tarif du Tribunal cantonal, tous les frais nécessaires causés par le litige (art. 37 al. 2 CDPJ). Les dépens comprennent les débours nécessaires (art. 95 CPC al. 3 let. a CPC) et le défraiement d’un représentant professionnel (al.</w:t>
      </w:r>
    </w:p>
    <w:p>
      <w:r>
        <w:rPr>
          <w:b/>
        </w:rPr>
        <w:t>E. 3.3</w:t>
      </w:r>
    </w:p>
    <w:p>
      <w:r>
        <w:t>Le litige portant sur une expulsion requise dans le cadre de la résiliation d’un bail à loyer pour demeure du locataire, la valeur litigieuse se monte en l’espèce à 48'960 fr. (1'360 x 36), conformément à la jurisprudence précitée. Le défraiement de l’agent d’affaires devrait donc selon l’art. 11 TDC se situer dans une fourchette comprise entre 1'125 à 4'500 francs. Toutefois, lorsqu’il y a disproportion manifeste entre la valeur litigieuse et l’intérêt des parties au procès ou entre le taux applicable selon le tarif et le travail effectif du représentant professionnel, le juge peut fixer des dépens inférieurs au taux minimum (art. 20 al. 2 TDC). En l’occurrence, les dépens réclamés par la recourante pour le défraiement de son représentant professionnel, à hauteur de 1'125 fr., sont disproportionnés par rapport au travail accompli : la requête d’expulsion est une écriture standard qui n’a nécessité qu’un temps très court pour sa rédaction ; en outre, l’audience de première instance n’a duré que dix minutes. Les dépens de première instance, fixés à 210 fr., soit 10 fr. pour les débours nécessaires et 200 fr. à titre de défraiement du représentant professionnel, correspondent à la rémunération horaire usuelle de l’agent d’affaires breveté, la pratique vaudoise retenant en la matière un tarif horaire moyen de 220 fr. (CREC 7 janvier 2014/3 et les arrêts cités). Ils peuvent dès lors être confirmés.</w:t>
      </w:r>
    </w:p>
    <w:p>
      <w:r>
        <w:rPr>
          <w:b/>
        </w:rPr>
        <w:t>E. 4</w:t>
      </w:r>
    </w:p>
    <w:p>
      <w:r>
        <w:t>En conclusion, le recours doit être rejeté selon le mode procédural de l’art. 322 al. 1 CPC et l’ordonnance attaquée confirmée. Les frais judiciaires de deuxième instance, arrêtés à 100 fr. (art. 69 al. 1 et 70 al. 4 TFJC) sont mis à la charge de l’appelante, qui succombe (art. 106 al. 1 CPC). Il n’y a pas lieu d’allouer des dépens de deuxième instance, les intimés n’ayant pas été invités à se déterminer sur le recours. Par ces motifs, la Chambre des recours civile du Tribunal cantonal, statuant à huis clos, en application de l'art. 322 al. 1 CPC, prononce : I. Le recours est rejeté. II. Le ch. VI de l’ordonnance est confirmé. III. Les frais judiciaires de deuxième instance, arrêtés à 100 fr. (cent francs), sont mis à la charge de la recourante. IV. L’arrêt motivé est exécutoire. Le président :               Le greffier : Du 14 octobre 2014 Le dispositif de l'arrêt qui précède est communiqué par écrit aux intéressés. Le greffier : Du L'arrêt qui précède, dont la rédaction a été approuvée à huis clos, est notifié en expédition complète, par l'envoi de photocopies, à : ‑ M. Christophe Savoy, agent d’affaires breveté (pour H.________), ‑ M. V.________ et Mme W.________.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 - 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