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846 vom 27. Oktober 2014</w:t>
      </w:r>
    </w:p>
    <w:p>
      <w:r>
        <w:t>VD Tribunal cantonal, 2014-10-27, FR</w:t>
      </w:r>
    </w:p>
    <w:p>
      <w:r>
        <w:rPr>
          <w:b/>
        </w:rPr>
        <w:t xml:space="preserve">Quelle: </w:t>
      </w:r>
      <w:r>
        <w:t>https://mcp.opencaselaw.ch/entscheid/vd_findinfo_HC___2014___846</w:t>
      </w:r>
    </w:p>
    <w:p>
      <w:r>
        <w:t>FR: VD_FINDINFO HC / 2014 / 846 du 27 octobre 2014</w:t>
      </w:r>
    </w:p>
    <w:p>
      <w:r>
        <w:t>IT: VD_FINDINFO HC / 2014 / 846 del 27 ottobre 2014</w:t>
      </w:r>
    </w:p>
    <w:p>
      <w:pPr>
        <w:pStyle w:val="Heading2"/>
      </w:pPr>
      <w:r>
        <w:t>Regeste</w:t>
      </w:r>
    </w:p>
    <w:p>
      <w:r>
        <w:t>MESURE PROVISIONNELLE, OBLIGATION D'ENTRETIEN, ENFANT, MAJORITÉ{ÂGE} | 277 al. 2 CC</w:t>
      </w:r>
    </w:p>
    <w:p>
      <w:pPr>
        <w:pStyle w:val="Heading2"/>
      </w:pPr>
      <w:r>
        <w:t>Erwägungen</w:t>
      </w:r>
    </w:p>
    <w:p>
      <w:r>
        <w:rPr>
          <w:b/>
        </w:rPr>
        <w:t>E. 1.1</w:t>
      </w:r>
    </w:p>
    <w:p>
      <w:r>
        <w:t>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le délai pour l'introduction de l'appel est de dix jours (art. 314 al. 1 CPC). Formé en temps utile et portant sur des conclusions qui, capitalisées selon l’art. 92 al. 1 CPC, sont supérieures à 10'000 fr., l’appel est recevable.</w:t>
      </w:r>
    </w:p>
    <w:p>
      <w:r>
        <w:rPr>
          <w:b/>
        </w:rPr>
        <w:t>E. 1.2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2</w:t>
      </w:r>
    </w:p>
    <w:p>
      <w:r>
        <w:t>L’appelant conteste devoir financer une quatrième formation en école privée à son fils âgé de 22 ans qui a mené, à ses frais et durant plusieurs années, une vie d’insouciance et de complète négligence. L’intimé, quant à lui, explique que ses errements sont à mettre en lien avec les difficultés liées à l’environnement familial et non pas un manque de volonté ou d’engagement de sa part.</w:t>
      </w:r>
    </w:p>
    <w:p>
      <w:r>
        <w:rPr>
          <w:b/>
        </w:rPr>
        <w:t>E. 2.1.1</w:t>
      </w:r>
    </w:p>
    <w:p>
      <w:r>
        <w:t>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 4.1 ; Juge délégué CACI, 26 février 2013/113 c. 3a).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(ATF 138 III 378, c. 6.3 ; Hohl, Procédure civile, Tome Il, 2 e éd. 2010, n. 176, p. 323).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 de façon générale, il y a urgence chaque fois que le retard apporté à une solution provisoire met en péril les intérêts d’une des parties (HohI, La réalisation du droit et les procédures rapides, thèse d’habilitation, 1994, n. 543).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 l’examen du droit et la pesée des intérêts en présence ne s’excluent pas : le juge doit pondérer le droit présumé du requérant à la mesure avec les conséquences irréparables que celle-ci peut entraîner pour l’intimé (ATF 131 III 473 c. 2.3). Plus une mesure atteint de manière incisive la partie citée, plus il convient de fixer de hautes exigences quant à l’existence des faits pertinents et au fondement juridique de la prétention. Tel est en particulier le cas des mesures d’exécution anticipées provisoires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18 ad art. 261 CPC ; TF 4A_611/2011 précité c. 4.1 et les réf ; ATF 131 III 473 c. 2.3 et 3.2 ; Juge délégué CACI 20 septembre 2011/257). Les mesures provisoires prises en faveur d’un enfant majeur sont des mesures d’exécution anticipée de ce qui est demandé au fond, ce qui expose l’enfant majeur à devoir rembourser au parent défendeur les contributions versées à titre provisoire en cas de rejet de l’action au fond (ATF 137 III 586 c. 1.2 et les réf.). L’art. 303 CPC, aussi applicable lorsque la demande d’aliments émane de l’enfant majeur (art. 277 al. 2 CC), parle du reste d’avance de contributions d’entretien équitables.</w:t>
      </w:r>
    </w:p>
    <w:p>
      <w:r>
        <w:rPr>
          <w:b/>
        </w:rPr>
        <w:t>E. 2.1.2</w:t>
      </w:r>
    </w:p>
    <w:p>
      <w:r>
        <w:t>Selon la disposition précitée,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 5b). Elle doit être achevée dans les délais normaux, ce qui implique que l'enfant doit s'y consacrer avec zèle ou, en tout cas, avec bonne volonté, sans toutefois devoir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de manière anormale les délais de formation. Il appartient cependant à l'enfant qui a commencé des études depuis un certain temps et réclame une contribution d'entretien de prouver qu'il a obtenu des succès, notamment qu'il a présenté les travaux requis et réussi les examens organisés dans le cours normal des études (ATF 117 II 127 c. 3b et les arrêts cités ; TF 5A_563/2008 du 4 décembre 2008 c. 4.1 et les arrêts cités).</w:t>
      </w:r>
    </w:p>
    <w:p>
      <w:r>
        <w:rPr>
          <w:b/>
        </w:rPr>
        <w:t>E. 2.2</w:t>
      </w:r>
    </w:p>
    <w:p>
      <w:r>
        <w:t>Le premier juge a relevé que les pièces au dossier ne permettaient pas de déterminer les études suivies par l’intimé en 2009 et 2010, qu’il avait débuté auprès du [...] des cours tendant à l’obtention du baccalauréat français, qu’il avait abandonné cette formation en 2011 et qu’on ignorait ce que l’intéressé avait fait depuis ce moment et jusqu’à son départ du foyer de son père en mars 2014. Il a en outre retenu que, sans instruction complète, il était difficile de dire si le retard pris à entamer une formation et l’échec précité était à mettre sur le manque d’assiduité de l’intimé ou sur ses difficultés d’adaptation à l’environnement socio-économique dues au conflit parental ou à une autre cause et qu’on ne saurait par conséquent lui imputer toute la responsabilité de ses échecs. Cette appréciation ne saurait être suivie. En effet, les pièces du dossier démontrent, au stade de la vraisemblance, d’une part, que l’intimé a déjà entrepris plusieurs formations et, d’autre part, qu’il a échoué en raison de son manque d’assiduité. Ainsi, l’intimé est entré à [...] en septembre 2004. Il y a suivi sa scolarité pendant 4 ans et obtenu son certificat d’étude en juin 2008. On ne sait pas précisément ce que l’intéressé a entrepris par la suite ; il n’allègue rien à ce sujet et ne démontre pas davantage avoir obtenu quelques succès dans un domaine quelconque jusqu’à la fin de l’été 2010. Pour sa part, l’appelant allègue, sans d’ailleurs être contredit à ce sujet, que son fils a été scolarisé très brièvement à l’Ecole [...] et que cet établissement a résilié prématurément le contrat au regard des nombreuses absences injustifiées de l’élève. Dès le 30 août 2010, l’intéressé a entrepris une formation pour obtenir le baccalauréat français auprès du [...]. Ses bulletins de notes révèlent notamment des absences répétées et injustifiées ainsi qu’un manque d’attention en classe. Dans un courrier du 3 février 2011, l’école a informé les parents qu’elle avait constaté un important manque de travail chez l’intimé, que ses multiples entretiens avec lui n’avaient malheureusement rien donné de concluant et que ses absences répétées ne lui permettaient pas de le suivre de manière optimale. Suite à l’échec de cette formation, l’intimé ne soutient ni ne démontre d’aucune manière qu’il aurait entrepris valablement quoique ce soit sur le plan professionnel. Son père allègue au contraire qu’il aurait commencé un apprentissage, qui a été interrompu prématurément. Par ailleurs, les éléments du dossier ne permettent pas de retenir, sous l’angle de la vraisemblance, que ces différents manquements seraient imputables à autre chose qu’à un manque d’assiduité de l’intimé. L’attestation du 13 janvier 2014 relève que la prise en charge de l’intimé a pris fin en 2009. De plus, la séparation de l’appelant d’avec son épouse date de 2006. On ne saurait y voir la cause des échecs répétés de l’intimé jusqu’en 2014. Au regard de l’ensemble de ces éléments et à ce stade de l’instruction, on doit, au stade de la vraisemblance, retenir que l’intimé a subi des échecs répétés imputables à un manque d’assiduité.</w:t>
      </w:r>
    </w:p>
    <w:p>
      <w:r>
        <w:rPr>
          <w:b/>
        </w:rPr>
        <w:t>E. 3</w:t>
      </w:r>
    </w:p>
    <w:p>
      <w:r>
        <w:t>Au vu de ce qui précède, l’appel doit être admis et l’ordonnance réformée en ce sens que la requête de mesures provisionnelles déposée le 21 mars 2014 par l’intimé est rejetée et que les frais et dépens de la procédure provisionnelle suivront le sort de la cause au fond.</w:t>
      </w:r>
    </w:p>
    <w:p>
      <w:r>
        <w:rPr>
          <w:b/>
        </w:rPr>
        <w:t>E. 3.1</w:t>
      </w:r>
    </w:p>
    <w:p>
      <w:r>
        <w:t>La requête d’assistance judiciaire de l’intimé est admise pour la procédure d’appel (art. 117 CPC), Me Valérie Mérinat étant désignée conseil d’office. Elle a produit une liste des opérations effectuées, faisant état de 4 heures et 56 minutes d’activité d’avocat, à un taux horaire de 180 fr., ainsi que 16 fr. 50 de débours. L’indemnité équitable, avec TVA sur le tout par 73 fr. 30, peut dès lors être arrêtée à 989 fr. 80.</w:t>
      </w:r>
    </w:p>
    <w:p>
      <w:r>
        <w:rPr>
          <w:b/>
        </w:rPr>
        <w:t>E. 3.2</w:t>
      </w:r>
    </w:p>
    <w:p>
      <w:r>
        <w:t>Les frais de deuxième instance, arrêtés à 600 fr. (art. 65 al. 2 TFJC [Tarif des frais judiciaires civils du 28 septembre 2010 ; RSV 270.11.5]), sont laissés à la charge de l’Etat (art. 122 al. 1 let. b CPC). Il est rappelé que le bénéficiaire de l’assistance judiciaire est, dans la mesure de l’art. 123 CPC, tenu au remboursement de l’indemnité au conseil d’office et des frais judiciaires mis à la charge de l’Etat.</w:t>
      </w:r>
    </w:p>
    <w:p>
      <w:r>
        <w:rPr>
          <w:b/>
        </w:rPr>
        <w:t>E. 3.3</w:t>
      </w:r>
    </w:p>
    <w:p>
      <w:r>
        <w:t>L'intimé, qui succombe, versera à l'appelant des dépens de deuxième instance arrêtés à 1'400 fr. (art. 95 al. 1, 106 al. 2 et 111 al. 2, 122 CPC; art. 3 al. 1 et 2 et 7 TDC [tarif des dépens en matière civile du 23 novembre 2010; RSV 270.11.6]). Selon l’art. 334 al. 1 CPC, si le dispositif de la décision est peu clair, contradictoire ou incomplet ou s’il ne correspond pas à la motivation, le tribunal procède, sur requête ou d’office, à l’interprétation ou la rectification de la décision. En l’occurrence, le dispositif communiqué le 28 octobre 2014 indique en son ch. VII que l’intimé doit verser à l’appelant la somme de 2'000 fr. à titre de dépens et de restitution d’avance de frais de deuxième instance. Or, l’intimé ayant été mis au bénéfice de l’assistance judiciaire, il appartient à l’Etat de restituer à l’appelant l’avance de frais dont il s’est acquitté par 600 francs (art. 122 al. 1 let. c CPC). Il convient dès lors de procéder à la correction de cette erreur de plume et de rectifier le ch. VII du dispositif en ce sens que l’intimé doit verser à l’appelant la somme de 1'400 fr. à titre de dépens de deuxième instance uniquement. Par ces motifs, le juge délégué de la Cour d’appel civile du Tribunal cantonal, statuant à huis clos, prononce : I. L’appel est admis. II. Il est statué à nouveau comme suit : I. La requête de mesures provisionnelles déposée le 21 mars 2014 par B.Q.________ est rejetée. II. Les frais et dépens de la procédure provisionnelle suivront le sort de la cause au fond. III. La requête d’assistance judiciaire de l’intimé B.Q.________ est admise, Me Valérie Mérinat étant désignée conseil d’office dans la procédure d’appel. IV. Les frais judiciaires de deuxième instance, arrêtés à 600 fr. (six cents francs) pour l’intimé, sont laissés à la charge de l’Etat. V. L’indemnité d’office de Me Valérie Mérinat, conseil de l’intimé, est arrêtée à 989 fr. 80 (neuf cent huitante-neuf francs et huitante centimes), TVA et débours compris. VI. Le bénéficiaire de l’assistance judiciaire est, dans la mesure de l’art. 123 CPC, tenu au remboursement de l’indemnité au conseil d’office et des frais judiciaires mis à la charge de l’Etat. VII. L’intimé B.Q.________ doit verser à l’appelant A.Q.________ la somme de 1’400 fr. (mille quatre cents francs) à titre de dépens de deuxième instance. VIII. L’arrêt motivé est exécutoire. Le juge délégué : Le greffier : Du 28 octobre 2014 Le dispositif de l'arrêt qui précède est communiqué par écrit aux intéressés. Le greffier : Du L'arrêt qui précède, dont la rédaction a été approuvée à huis clos, est notifié en expédition complète, par l'envoi de photocopies à : ‑ M. Jean-Marc Reymond, avocat (pour A.Q.________), ‑ Mme Valérie Mérinat, avocate (pour B.Q.________).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