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844 vom 3. September 2014</w:t>
      </w:r>
    </w:p>
    <w:p>
      <w:r>
        <w:t>VD Tribunal cantonal, 2014-09-03, FR</w:t>
      </w:r>
    </w:p>
    <w:p>
      <w:r>
        <w:rPr>
          <w:b/>
        </w:rPr>
        <w:t xml:space="preserve">Quelle: </w:t>
      </w:r>
      <w:r>
        <w:t>https://mcp.opencaselaw.ch/entscheid/vd_findinfo_HC___2014___844</w:t>
      </w:r>
    </w:p>
    <w:p>
      <w:r>
        <w:t>FR: VD_FINDINFO HC / 2014 / 844 du 3 septembre 2014</w:t>
      </w:r>
    </w:p>
    <w:p>
      <w:r>
        <w:t>IT: VD_FINDINFO HC / 2014 / 844 del 3 settembre 2014</w:t>
      </w:r>
    </w:p>
    <w:p>
      <w:pPr>
        <w:pStyle w:val="Heading2"/>
      </w:pPr>
      <w:r>
        <w:t>Regeste</w:t>
      </w:r>
    </w:p>
    <w:p>
      <w:r>
        <w:t>ASSISTANCE JUDICIAIRE, HONORAIRES, AVOCAT D'OFFICE | 110 CPC (CH), 122 al. 1 let. a CPC (CH)</w:t>
      </w:r>
    </w:p>
    <w:p>
      <w:pPr>
        <w:pStyle w:val="Heading2"/>
      </w:pPr>
      <w:r>
        <w:t>Erwägungen</w:t>
      </w:r>
    </w:p>
    <w:p>
      <w:r>
        <w:rPr>
          <w:b/>
        </w:rPr>
        <w:t>E. 1</w:t>
      </w:r>
    </w:p>
    <w:p>
      <w:r>
        <w:t>a) L’art. 110 CPC ouvre la voie du recours séparé de l’art. 319 let. b ch. 1 CPC contre les décisions fixant l’indemnité du conseil d’office, cette indemnité étant considérée comme des frais au sens de l’art. 95 CPC (CREC 3 septembre 2014/312 ;CREC 15 avril 2014/140 ; CREC 13 février 2013/52 ; Tappy, CPC commenté, Bâle 2011, n. 21 ad art. 122 CPC p. 503).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b) En l'espèce, interjeté en temps utile par une personne qui a un intérêt digne de protection (art. 59 al. 2 let. a CPC), le recours est formellement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 c) Les conclusions, les allégations de faits et les preuves nouvelles sont irrecevables (art. 326 al. 1 CPC), de sorte que les pièces produites par l’intimée, qui ne figuraient pas au dossier de première instance, sont irrecevables.</w:t>
      </w:r>
    </w:p>
    <w:p>
      <w:r>
        <w:rPr>
          <w:b/>
        </w:rPr>
        <w:t>E. 3</w:t>
      </w:r>
    </w:p>
    <w:p>
      <w:r>
        <w:t>a) La recourante conteste le montant alloué à titre d’indemnité d’assistance judiciaire, le considérant comme excessif, dès lors que le dossier n’était pas complexe et que le nombre d’heures effectué était inutile.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l 1 c. 3a). Dans le canton de Vaud, l’art. 2 al. 1 RAJ (Règlement sur l’assistance judiciaire en matière civile du 7 décembre 2010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 ATF 117 la 22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4</w:t>
      </w:r>
    </w:p>
    <w:p>
      <w:r>
        <w:t>a) S’agissant de l’absence de complexité de l’affaire invoquée par S.________ à l’appui de son recours, on relèvera qu’une audience de mesures protectrices de l’union conjugale d’une durée de 60 minutes a été tenue le 23 avril 2014, lors de laquelle la conciliation a partiellement abouti sur la question du principe de la séparation, de la jouissance du domicile conjugal, des meubles et des effets personnels de la recourante. Au surplus, les parties ont convenu que leurs conseils échangeraient s’agissant des pièces dont ils avaient besoin pour s’exprimer sur la question financière et un délai au 19 mai 2014 leur a été imparti pour produire un mémoire complémentaire unique, accompagné des pièces idoines, la présidente précisant qu’un prononcé serait ensuite rendu sans reprise d’audience ni instruction complémentaire. Au vu de ce qui précède, il n’apparaît pas que la cause ait été particulièrement complexe. En particulier, la présence d’enfants (mineurs) qui seraient concernés par le conflit n’est pas avérée. b) Selon la note d’honoraires produite par Me Z.________, l’étude des pièces, après l’audience du 23 avril 2014, s’est élevée à 90 minutes, soit 60 minutes le 2 mai 2014, 20 minutes le 9 mai 2014 et 10 minutes le 13 mai 2014, sans compter l’étude du dossier de 20 minutes le 7 mai 2014. La liste d’opérations fait également état qu’après l’audience, les contacts avec la partie adverse ont nécessité 155 minutes, soit 10 minutes le 24 avril 2014, 30 minutes le 29 avril 2014, 40 minutes (courrier) le 2 mai 2014, 40 minutes (courrier) le 7 mai 2014, 20 minutes (courrier/fax) le 9 mai 2014 et 15 minutes le 13 mai 2014. L’intimée n’a apporté aucune explication convaincante à cet égard dans sa réponse. On ne voit donc pas que l’existence d’un immeuble, voire le fait que la recourante soit une rentière AI, atteinte dans sa santé, aient nécessité des contacts aussi fréquents avec la partie adverse, en vue de la rédaction du mémoire complémentaire. Ces montants paraissent dès lors excessifs et seront réduits d’un tiers, respectivement à 60 minutes et 103.3 minutes. L’utilité des opérations retenues ne saurait cependant être remise en question, dès lors que c’est la recourante elle-même qui a mis fin au mandat d’office avant le délai du 19 mai 2014 fixé pour produire le mémoire complémentaire. Il y a en revanche encore lieu de retrancher de la liste d’opérations 11 mémos d’une durée de 5 minutes du 10 avril au 15 mai, soit au total 55 minutes, s’agissant de pur travail de secrétariat (CREC 3 septembre 2014/312 ; CREC 2 octobre 2012/344 ; CREC 14 novembre 2013/377).</w:t>
      </w:r>
    </w:p>
    <w:p>
      <w:r>
        <w:rPr>
          <w:b/>
        </w:rPr>
        <w:t>E. 5</w:t>
      </w:r>
    </w:p>
    <w:p>
      <w:r>
        <w:t>La recourante reproche également au conseil d’office d’avoir commis des erreurs en ne chiffrant pas le montant de sa pension alimentaire et en la contraignant à céder dans le cadre d’un accord sur la jouissance du domicile conjugal, alors qu’elle y était opposée. On ne voit pas en quoi le grief concernant la pension alimentaire aurait eu des conséquences sur le déroulement de la procédure et partant sur la note d’honoraires, dès lors que la mandante a mis fin au mandat avant le délai échéant au 19 mai 2014 pour la remise du mémoire complémentaire unique sur la question financière. Le grief relatif à l’attribution de la jouissance du domicile conjugal est également infondé au vu des conclusions de la recourante en première instance et de la convention conclue à ce sujet qui concorde avec dites conclusions.</w:t>
      </w:r>
    </w:p>
    <w:p>
      <w:r>
        <w:rPr>
          <w:b/>
        </w:rPr>
        <w:t>E. 6</w:t>
      </w:r>
    </w:p>
    <w:p>
      <w:r>
        <w:t>En définitive, la note d’honoraires sera réduite des montants correspondant à 30 minutes à titre d’étude de pièces, 51.6 minutes à titre de contacts avec la partie adverse et 55 minutes à titre de mémos, soit au total 136.6 minutes. Cette réduction équivaut à un montant de 410 fr., auquel il faut ajouter 32 fr. 80 de TVA, soit un total de 442 fr. 80. L’indemnité de conseil d’office de Me Z.________ doit donc être arrêtée à 3'387 fr. 20 (3'364 fr. 20 + 23 fr. de débours) au lieu de 3'830 francs.</w:t>
      </w:r>
    </w:p>
    <w:p>
      <w:r>
        <w:rPr>
          <w:b/>
        </w:rPr>
        <w:t>E. 7</w:t>
      </w:r>
    </w:p>
    <w:p>
      <w:r>
        <w:t>Compte tenu de ce qui précède, le recours doit être admis et la décision querellée réformée en ce sens que l’indemnité de conseil d’office de S.________ allouée à Me Z.________ est fixée à 3'387 fr. 20 pour la période du 10 avril 2014 au 15 mai 2014, dite décision étant confirmée pour le surplus. Les frais judiciaire de deuxième instance, arrêtés à 100 fr. (art. 69 al. 3 TFJC [tarif des frais judiciaires civils du 28 septembre 2010 ; RSV 270.11.5]), sont laissés à la charge de l’Etat. Il n’y a pas lieu à l’allocation de dépens, les conditions de l’art. 95 al. 3 CPC n’étant pas réalisées et ceux-ci n’ayant du reste pas été sollicités. Par ces motifs, la Chambre des recours civile du Tribunal cantonal, statuant à huis clos, prononce : I. Le recours est admis. II. La décision est modifiée au chiffre I de son dispositif en ce sens que : « I. Fixe l’indemité de conseil d’office de S.________ allouée à Me Z.________ à 3'387 fr. 20 (trois mille trois cent huitante-sept francs et vingt centimes) pour la période du 10 avril 2014 au 15 mai 2014. » La décision est confirmée pour le surplus. III. Les frais judiciaire de deuxième instance, arrêtés à 100 fr. (cent francs), sont laissés à la charge de l’Etat. IV. L’arrêt est exécutoire. Le président :               La greffière : Du L'arrêt qui précède, dont la rédaction a été approuvée à huis clos, est notifié à : ‑ Mme S.________, ‑ 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