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840 vom 23. September 2014</w:t>
      </w:r>
    </w:p>
    <w:p>
      <w:r>
        <w:t>VD Tribunal cantonal, 2014-09-23, FR</w:t>
      </w:r>
    </w:p>
    <w:p>
      <w:r>
        <w:rPr>
          <w:b/>
        </w:rPr>
        <w:t xml:space="preserve">Quelle: </w:t>
      </w:r>
      <w:r>
        <w:t>https://mcp.opencaselaw.ch/entscheid/vd_findinfo_HC___2014___840</w:t>
      </w:r>
    </w:p>
    <w:p>
      <w:r>
        <w:t>FR: VD_FINDINFO HC / 2014 / 840 du 23 septembre 2014</w:t>
      </w:r>
    </w:p>
    <w:p>
      <w:r>
        <w:t>IT: VD_FINDINFO HC / 2014 / 840 del 23 settembre 2014</w:t>
      </w:r>
    </w:p>
    <w:p>
      <w:pPr>
        <w:pStyle w:val="Heading2"/>
      </w:pPr>
      <w:r>
        <w:t>Regeste</w:t>
      </w:r>
    </w:p>
    <w:p>
      <w:r>
        <w:t>DÉCISION DE RENVOI, DÉCISION D'IRRECEVABILITÉ | 319 CPC (CH), 319 let. b ch. 2 CPC (CH)</w:t>
      </w:r>
    </w:p>
    <w:p>
      <w:pPr>
        <w:pStyle w:val="Heading2"/>
      </w:pPr>
      <w:r>
        <w:t>Erwägungen</w:t>
      </w:r>
    </w:p>
    <w:p>
      <w:r>
        <w:rPr>
          <w:b/>
        </w:rPr>
        <w:t>E. 1</w:t>
      </w:r>
    </w:p>
    <w:p>
      <w:r>
        <w:t>a) 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2011, Feuille fédérale [FF] 2001, p. 4143 ; TF 5A_336/2008 du 28 août 2008 c. 1.3 et les références citées ; TF 4A_71/2007 du 19 octobre 2007 c. 2.2 ; TF 4A_138/2007 du 19 juin 2007 c. 1.5). Ce principe général de procédure est valable même en l’absence de disposition légale expresse (ATF 99 Ia 519 ; TF 4A_646/2011 du 26 février 2014 c. 3.2, Revue suisse de procédure civile [RSPC] 2013, p. 319), également en procédure cantonale (CREC I 23 novembre 2001/808 et les références citées). Sous l’empire de la procédure fédérale, le renvoi prévu à l’art. 318 al. 1 let. c CPC a les mêmes conséquences (Jeandin, CPC commenté, 2011, n. 4 ad 318 CPC, p. 1268). Le tribunal auquel la cause est renvoyée voit sa cognition limitée par les motifs de l'arrêt de renvoi, en ce sens qu'il est lié par ce qui a déjà été jugé définitivement par le Tribunal fédéral (ATF 133 III 201 c.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(cf. Poudret, Commentaire sur la loi fédérale d'organisation judiciaire, vol. II, 1990, n. 1.3.2 ad art. 66 OJ, p. 598 ; TF 5A_336/2008 du 28 août 2008 c. 1.3 et les références citées). Les considérants de l’arrêt retournant la cause pour nouvelle décision à l’autorité cantonale lient aussi le Tribunal fédéral et les parties (ATF 133 III 201 c. 4.2 ; 125 III 421 c. 2a). b) Comme cela résulte de l’arrêt du Tribunal fédéral, la Chambre des recours doit déclarer irrecevable le recours des bailleurs et transmettre la cause à l’autorité de conciliation en matière de baux à loyer du district de Lausanne pour valoir opposition à la proposition de jugement. Cette dernière veillera à se conformer aux directives procédurales émises par le Tribunal cantonal au considérant 1.6 de son arrêt.</w:t>
      </w:r>
    </w:p>
    <w:p>
      <w:r>
        <w:rPr>
          <w:b/>
        </w:rPr>
        <w:t>E. 2</w:t>
      </w:r>
    </w:p>
    <w:p>
      <w:r>
        <w:t>Dès lors que le recours est irrecevable, A.W.________ et B.W.________ doivent supporter les frais judiciaires de deuxième instance (art. 106 al. 1 CPC), arrêtés à 645 fr. (art. 69 al. 1 TFJC), ce indépendamment de la pertinence des arguments des parties concernant le fond du litige. L’intimée n’ayant pas été invitée à se déterminer sur le sort du recours dans le cadre de la procédure cantonale, il n’y a pas lieu de lui allouer des dépens. Par ces motifs, la Chambre des recours civile du Tribunal cantonal, statuant à huis clos, en application de l'art. 322 al. 1 CPC, prononce : I. Le recours est irrecevable. II. Le recours est transmis à la Commission de conciliation en matière de baux à loyer du district de Lausanne pour valoir opposition. III. Les frais judiciaires de deuxième instance, arrêtés à 645 fr. (six cent quarante-cinq francs), sont mis à la charge de A.W.________ et B.W.________, solidairement entre eux. IV. L’arrêt est exécutoire. Le président :               La greffière : Du L'arrêt qui précède, dont la rédaction a été approuvée à huis clos, est notifié à : ‑ Me Pascal de Preux (pour A.W.________ et B.W.________), ‑ Me Guillaume Grand (pour V.________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de même que l’arrêt du Tribunal fédéral, sont communiqués, par l'envoi de photocopies, à : ‑ Commission de conciliation en matière de baux à loyer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