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830 vom 3. September 2014</w:t>
      </w:r>
    </w:p>
    <w:p>
      <w:r>
        <w:t>VD Tribunal cantonal, 2014-09-03, FR</w:t>
      </w:r>
    </w:p>
    <w:p>
      <w:r>
        <w:rPr>
          <w:b/>
        </w:rPr>
        <w:t xml:space="preserve">Quelle: </w:t>
      </w:r>
      <w:r>
        <w:t>https://mcp.opencaselaw.ch/entscheid/vd_findinfo_HC___2014___830</w:t>
      </w:r>
    </w:p>
    <w:p>
      <w:r>
        <w:t>FR: VD_FINDINFO HC / 2014 / 830 du 3 septembre 2014</w:t>
      </w:r>
    </w:p>
    <w:p>
      <w:r>
        <w:t>IT: VD_FINDINFO HC / 2014 / 830 del 3 settembre 2014</w:t>
      </w:r>
    </w:p>
    <w:p>
      <w:pPr>
        <w:pStyle w:val="Heading2"/>
      </w:pPr>
      <w:r>
        <w:t>Regeste</w:t>
      </w:r>
    </w:p>
    <w:p>
      <w:r>
        <w:t>REGISTRE DU COMMERCE, REPRÉSENTATION, REPRÉSENTATION SANS POUVOIRS, CONCLUSION DU CONTRAT | 32 CO, 933 CO</w:t>
      </w:r>
    </w:p>
    <w:p>
      <w:pPr>
        <w:pStyle w:val="Heading2"/>
      </w:pPr>
      <w:r>
        <w:t>Erwägungen</w:t>
      </w:r>
    </w:p>
    <w:p>
      <w:r>
        <w:rPr>
          <w:b/>
        </w:rPr>
        <w:t>E. 1</w:t>
      </w:r>
    </w:p>
    <w:p>
      <w:r>
        <w:t>Le recours de l’art. 319 let. a CPC est ouvert notamment contre les décisions finales de première instance qui ne peuvent pas faire l’objet d’un appel. Tel est le cas en l’espèce, s’agissant du jugement final rendu dans une cause pécuniaire dont la valeur litigieuse est inférieure à 10’000 francs. Déposé en temps utile, par une partie qui y a un intérêt et respectant les autres exigences formelles (art. 321 al.1 CPC), le recours est recevable.</w:t>
      </w:r>
    </w:p>
    <w:p>
      <w:r>
        <w:rPr>
          <w:b/>
        </w:rPr>
        <w:t>E. 2</w:t>
      </w:r>
    </w:p>
    <w:p>
      <w:r>
        <w:t>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se plaint d’une constatation manifestement inexacte de certains faits, ainsi que d’une violation du droit. Elle fait valoir que l’inscription comme administrateur-président avec signature individuelle et comme administrateur avec signature collective à deux de L.________, respectivement de O.________, figurait au Registre du commerce et était par conséquent opposable aux tiers, en vertu de l’effet de publicité positif du Registre du commerce prévu à l’art. 933 al. 1 CO. Ainsi, l’intimée aurait dû vérifier au Registre du commerce quelles personnes étaient à même d’engager la société avec leur signature, ce d’autant que L.________ avait refusé sa proposition l’année précédente, ce qui aurait dû amener l’intimée à faire preuve d’une prudence accrue et à s’assurer que M. S.________ disposait des pouvoirs pour engager la société. Enfin, la recourante conteste avoir toléré les actes de représentation de M. S.________. Elle reproche au premier juge de ne pas avoir tenu compte des incapacités de travail successives de L.________, et soutient que celui-ci aurait immédiatement contesté la validité du contrat conclu par M. S.________ lorsqu’il en avait appris l’existence. L’intimée soutient quant à elle qu’en vertu du principe de la bonne foi en affaires, elle ne saurait être tenue de vérifier le nom des détenteurs de pouvoirs de signature au Registre du commerce pour chacun de ses nombreux partenaires contractuels, et qu’en l’occurrence, elle s’était fiée aux déclarations de L.________, qui lui avait présenté M. S.________ comme son employé en charge du marketing et des questions administratives. En outre, le fait que L.________ ait précédemment refusé de conclure un contrat n’était pas probant, dans la mesure où ses clients changeaient fréquemment d’avis d’une année à l’autre. Ainsi, dès lors qu’elle avait exécuté de bonne foi sa part du contrat, soit la parution d’annonces pour la recourante, et vu la réaction tardive de L.________, c’était à bon droit qu’elle avait considéré que M. S.________ représentait valablement la recourante. b/aa) A titre liminaire, il y a lieu de constater qu’il va de soi que M. S.________ ne pouvait pas conclure seul un contrat au nom de la recourante en se fondant sur des pouvoirs inscrits au Registre du commerce. Cela n’est toutefois pas déterminant. En effet, une personne morale, tout comme une personne physique, peut désigner un représentant, selon les mécanismes généraux des art 32 ss CO, pour accomplir en son nom un ou plusieurs actes déterminés, même si le représentant est par ailleurs l’un de ses organes (TF 4A_271/2009 du 3 août 2009 c. 2.3; TF 4C_293/2006 du 17 novembre 2006 c. 2.1.3). Lorsque le représentant dispose d’un pouvoir inscrit au Registre du commerce, on n’admettra qu’avec retenue l’existence d’un pouvoir apparent allant au-delà de l’inscription au Registre du commerce (ATF 120 II 197 c. 2b/bb, JT 1995 I 194). La question décisive en l’espèce est donc celle de savoir si M. S.________ pouvait engager la recourante en tant que représentant direct sur la base des art. 32 ss CO. bb) Pour qu’il y ait représentation directe, il faut tout d’abord que le représentant agisse au nom du représenté (art. 32 al. 1 CO), sous réserve des exceptions prévues par l’art. 32 al. 2 CO qui n’entrent pas en considération ici. L’art. 32 al. 1 CO prévoit que les droits et les obligations dérivant d’un contrat fait au nom d’une autre personne par un représentant autorisé passent au représenté. Il s’ensuit que le représentant n’est pas lié par l’acte accompli: le représenté est seul lié au tiers, dont il devient directement créancier ou débiteur (Chappuis, Commentaire romand, Code des obligations I, Thévenoz/Werro (éd.), 2012, n. 20 ad art. 32 CO, p. 284).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 4.1; ATF 126 III 59 c. 1b).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4C.199/2004 du 11 janvier 2005 c. 7.1; TF 4C.296/1995 du 26 mars 1996, publié in SJ 1996 p. 554, c. 5c et les auteurs cités). Enfin,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 3.1). c) En l’espèce, comme l’a retenu le premier juge, en négociant avec l’intimée dans les locaux de la recourante, et en signant le contrat sous le timbre de la société, M. S.________ a donné l’impression qu’il agissait en qualité de représentant de cette dernière. L’intimée a ensuite adressé une lettre de confirmation à la recourante, preuve qu’elle avait effectivement admis que M. S.________ s’engageait pour la recourante et non pour son propre compte. Sur le plan interne, il ressort du témoignage de F.________ que c’est L.________ qui l’a dirigée vers M. S.________, le présentant comme le responsable de la publicité au sein de la société. Elle pouvait dès lors de bonne foi imaginer, d’après les circonstances, que la recourante était valablement engagée par la signature de M. S.________. Elle a été confortée dans cette idée par le fait que sa confirmation de commande n’a pas été contestée par la défenderesse. En outre, le fait que L.________ ait refusé la proposition de l’intimée l’année précédente ne devait pas en soi amener l’intimée à douter des pouvoirs de représentation de M. S.________, les changements d’avis de clients d’une année à l’autre étant fréquents, comme en a attesté le témoin F.________. Dès lors, force est de constater que les parties étaient liées par un contrat, en vertu des art. 32 ss CO, M. S.________ ayant agi pour le compte de la recourante, dont l’attitude permettait d’inférer que cet employé disposait des pouvoirs de représentation propres à engager la société. Il y a donc lieu de confirmer, par adoption de motifs, les considérations du premier juge à cet égard. Il en va de même de la qualification du contrat et de la quotité du montant dû par la recourante à l’intimée, qui ne sont au demeurant pas remises en cause par la recourante.</w:t>
      </w:r>
    </w:p>
    <w:p>
      <w:r>
        <w:rPr>
          <w:b/>
        </w:rPr>
        <w:t>E. 4</w:t>
      </w:r>
    </w:p>
    <w:p>
      <w:r>
        <w:t>septembre 2014 Le dispositif de l'arrêt qui précède est communiqué par écrit aux intéressés. La greffière : Du L'arrêt qui précède, dont la rédaction a été approuvée à huis clos, est notifié en expédition complète, par l'envoi de photocopies, à : ‑ Me Pierre-Xavier Luciani, avocat (pour H.________ SA), ‑ M. Pascal Stouder, agent d’affaires breveté (pour R.________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