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827 vom 20. Oktober 2014</w:t>
      </w:r>
    </w:p>
    <w:p>
      <w:r>
        <w:t>VD Tribunal cantonal, 2014-10-20, FR</w:t>
      </w:r>
    </w:p>
    <w:p>
      <w:r>
        <w:rPr>
          <w:b/>
        </w:rPr>
        <w:t xml:space="preserve">Quelle: </w:t>
      </w:r>
      <w:r>
        <w:t>https://mcp.opencaselaw.ch/entscheid/vd_findinfo_HC___2014___827</w:t>
      </w:r>
    </w:p>
    <w:p>
      <w:r>
        <w:t>FR: VD_FINDINFO HC / 2014 / 827 du 20 octobre 2014</w:t>
      </w:r>
    </w:p>
    <w:p>
      <w:r>
        <w:t>IT: VD_FINDINFO HC / 2014 / 827 del 20 ottobre 2014</w:t>
      </w:r>
    </w:p>
    <w:p>
      <w:pPr>
        <w:pStyle w:val="Heading2"/>
      </w:pPr>
      <w:r>
        <w:t>Regeste</w:t>
      </w:r>
    </w:p>
    <w:p>
      <w:r>
        <w:t>DÉCISION D'IRRECEVABILITÉ, MOTIVATION DE LA DEMANDE, CONCLUSIONS | 321 al. 1 CPC (CH)</w:t>
      </w:r>
    </w:p>
    <w:p>
      <w:pPr>
        <w:pStyle w:val="Heading2"/>
      </w:pPr>
      <w:r>
        <w:t>Volltext</w:t>
      </w:r>
    </w:p>
    <w:p>
      <w:r>
        <w:t>Vaud Tribunal cantonal Chambre des recours civile 20.10.2014 HC / 2014 / 827</w:t>
      </w:r>
    </w:p>
    <w:p>
      <w:r>
        <w:t>DÉCISION D'IRRECEVABILITÉ, MOTIVATION DE LA DEMANDE, CONCLUSIONS | 321 al. 1 CPC (CH)</w:t>
      </w:r>
    </w:p>
    <w:p>
      <w:r>
        <w:t>TRIBUNAL CANTONAL PT14.035977-141867 366 CHAMBRE DES RECOURS CIVILE _________________________________________ Arrêt du 20 octobre 2014 __________________ Présidence de               M. Winzap , président Juges :              M. Giroud et Mme Crittin Dayen Greffière :              Mme Egger Rochat ***** Art. 321 al. 1 CPC Statuant à huis clos sur le recours interjeté par K.________ , à Etoy, demandeur, contre le prononcé rendu le 3 octobre 2014 par la Juge déléguée de la Chambre patrimoniale cantonale dans la cause divisant le recourant d’avec W.________ , à Lausanne, défenderesse, la Chambre des recours civile du Tribunal cantonal voit : En fait et en droit : 1. Le 5 septembre 2014, K.________ a déposé un acte de procédure à l’encontre de W.________. Par courrier du 15 septembre 2014, la Juge déléguée de la Chambre patrimoniale cantonale a imparti à K.________ un délai échéant le 13 octobre 2014 pour déposer une demande conforme aux exigences formelles de l’art. 221 CPC. Le 23 septembre 2014, K.________ a déposé un nouvel acte, dont la Juge déléguée de la Chambre patrimoniale cantonale a considéré qu’il n’était pas conforme aux prescriptions de l’art. 221 CPC. Par prononcé du 3 octobre 2014, la Juge déléguée de la Chambre patrimoniale cantonale a déclaré irrecevables les actes déposés les 5 et 23 septembre 2014 par K.________ à l’encontre de W.________ et rendu sa décision sans frais. 2. Par acte du 11 octobre 2014, K.________ a recouru contre la décision précitée. Outre la mention selon laquelle il s’agirait d’un litige de responsabilité civile lié à un accident de la route, cet acte a notamment la teneur suivante : « Suit (sic) à mon rapport du 4 et 20 septembre 2014, j’ai bien reçu le rapport de la Chambre Patrimoniale Cantonale du 3 octobre 2014. Madame la juge Anne Michellod a eu trois difficultés dans cette affaire. Elle a de la peine à numériser les pages, de notifier les dates conformes aux procédures et également de rendre un rapport de décision impartialement en relation avec les preuves matérielles en sa possession. Pour ce litige, le Tribunal Cantonal n’a pas les compétences pour le traiter conforme à l’article 96g al. 1 OJV. Par ces nombreux motifs, dans la mesure où la Chambre patrimoniale a toutes les preuves nécessaires, c’est pourquoi j’attends un rapport de décision impartial en relation avec les preuves matérielles en possession de la Chambre Patrimoniale. En attendant la suite de cette affaire, je vous pris d’agréer, […] . » 3. A teneur de l’art. 321 al. 1 CPC (Code de procédure civile du 19 décembre 2008,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l’acte déposé le 11 octobre 2014 ne comporte pas de motivation, le recourant se bornant à critiquer l’activité du premier juge sans pour autant invoquer des motifs susceptibles d’être pertinents juridiquement. En outre, le recourant ne prend pas de conclusions, déclarant au surplus que la Cour de céans « n’a pas les compétences » pour traiter le litige. Le recours, dépourvu de motivation et de conclusions, doit ainsi être déclaré irrecevable, sans qu’il ait lieu d’impartir au recourant un délai pour remédier aux vices de son écriture. 5. Au vu de ce qui précède, le recours doit être déclaré irrecevable en application de la procédure de l’art. 322 al. 1 CPC et la décision confirmée.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K.________, ‑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