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824 vom 15. September 2014</w:t>
      </w:r>
    </w:p>
    <w:p>
      <w:r>
        <w:t>VD Tribunal cantonal, 2014-09-15, FR</w:t>
      </w:r>
    </w:p>
    <w:p>
      <w:r>
        <w:rPr>
          <w:b/>
        </w:rPr>
        <w:t xml:space="preserve">Quelle: </w:t>
      </w:r>
      <w:r>
        <w:t>https://mcp.opencaselaw.ch/entscheid/vd_findinfo_HC___2014___824</w:t>
      </w:r>
    </w:p>
    <w:p>
      <w:r>
        <w:t>FR: VD_FINDINFO HC / 2014 / 824 du 15 septembre 2014</w:t>
      </w:r>
    </w:p>
    <w:p>
      <w:r>
        <w:t>IT: VD_FINDINFO HC / 2014 / 824 del 15 settembre 2014</w:t>
      </w:r>
    </w:p>
    <w:p>
      <w:pPr>
        <w:pStyle w:val="Heading2"/>
      </w:pPr>
      <w:r>
        <w:t>Regeste</w:t>
      </w:r>
    </w:p>
    <w:p>
      <w:r>
        <w:t>AVOCAT, ASSISTANCE JUDICIAIRE, INDEMNITÉ ÉQUITABLE | 122 CPC (CH)</w:t>
      </w:r>
    </w:p>
    <w:p>
      <w:pPr>
        <w:pStyle w:val="Heading2"/>
      </w:pPr>
      <w:r>
        <w:t>Erwägungen</w:t>
      </w:r>
    </w:p>
    <w:p>
      <w:r>
        <w:rPr>
          <w:b/>
        </w:rPr>
        <w:t>E. 1</w:t>
      </w:r>
    </w:p>
    <w:p>
      <w:r>
        <w:t>L’article 110 CPC (Code de procédure civile du 19 décembre 2008 ; RS 272) ouvre la voie du recours séparé de l’art. 319 let. b ch. 1 CPC contre les décisions fixant l’indemnité du conseil d’office, cette indemnité étant considérée comme des frais au sens de l’art. 95 CPC (CREC 15 avril 2014/140; CREC 13 février 2013/52 ; Tappy, CPC commenté, 2011, n. 21 ad art. 122 CPC).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Le recourant se plaint que le premier juge a erré en réduisant le nombre d’heures annoncées de 25 heures et 20 minutes à 12 heures, ainsi que les débours de 602 fr. à 384 francs. a)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b) En l’espèce, la cause n’a donné lieu qu’à une audience du 17 décembre 2012, qui a duré 25 minutes, à la production de déterminations ainsi que d’une liste de témoins et à un prononcé d’irrecevabilité. Il est vrai que huit prolongations de délais ont été accordées à l’intimé et que des pourparlers transactionnels ont été menés. S’il ne fait aucun doute que ceux-ci ont nécessité la rédaction d’un certain nombre courriers, les 109 correspondances annoncées ne se justifient toutefois pas. Au vu de l’absence de difficultés particulières de la cause, c’est donc à raison que le premier juge a réduit les 25 heures et 20 minutes annoncées par l’appelant, qui paraissent manifestement disproportionnées. Les 12 heures retenues par le premier juge peuvent par ailleurs être confirmées. Si l’on tient compte des postes « Etude, réponse et analyse des développements juridiques » par 1 heure et 30 minutes, « Rédaction de déterminations sur réponse » par 30 minutes, « 1 liste de témoins » par 10 minutes, « Préparation de l’audience du 17 décembre 2012 » par 1 heure, « Audience du 17 décembre 2012 » par 25 minutes (et non 30 minutes, la « vacation » étant déjà comprise dans le forfait déplacement de 120 fr. comme le retient à juste titre le premier juge), « 3 rendez-vous » par 3 heures et « 1 réquisition de poursuite » par 15 minutes, soit un total de 6 heures et 50 minutes, il reste quelque 5 heures et 10 minutes consacrées aux correspondances, courriels et entretiens téléphoniques, ce qui est largement suffisant compte tenu de la nature de l’affaire. On rappellera à cet égard que l’avocat ne doit pas être rétribué pour des activités qui ne sont pas nécessaires à la défense de son client. En outre, le poste « Rédaction de la présente » est une opération de clôture du dossier, qui n’a pas à être prise en compte dans l’indemnité équitable (CREC 2 octobre 2012/344 ; CREC 14 novembre 2013/377). S’agissant des débours, ils ne comprennent par le frais de photocopies, ceux-ci relevant des frais généraux (CREC 14 novembre 2013/377). On ne saurait dès lors faire grief au premier juge d’avoir réduit le montant des débours de 602 fr. à 384 fr., en ramenant à 200 fr. les postes intitulés « Correspondances, timbres, enveloppes » et « Frais divers, photocopies, etc. ».</w:t>
      </w:r>
    </w:p>
    <w:p>
      <w:r>
        <w:rPr>
          <w:b/>
        </w:rPr>
        <w:t>E. 4</w:t>
      </w:r>
    </w:p>
    <w:p>
      <w:r>
        <w:t>Au vu de ce qui précède, le recours doit être rejeté et le prononcé confirmé. Les frais judiciaires de deuxième instance, arrêtés à 100 fr. (art. 69 al. 3 TFJC [Tarif des frais judiciaires civils du 28 septembre 2010 ; RSC 270.11.5]), sont mis à la charge du recourant, qui succombe (art. 106 al. 1 CPC).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du recourant J.________. IV. L’arrêt motivé est exécutoire. Le président :               Le greffier : Du 16 septembre 2014 Le dispositif de l'arrêt qui précède est communiqué par écrit aux intéressés. Le greffier : Du L'arrêt qui précède, dont la rédaction a été approuvée à huis clos, est notifié en expédition complète, par l'envoi de photocopies, à : ‑ M. J.________, avocat, ‑ M.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