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811 vom 15. September 2014</w:t>
      </w:r>
    </w:p>
    <w:p>
      <w:r>
        <w:t>VD Tribunal cantonal, 2014-09-15, FR</w:t>
      </w:r>
    </w:p>
    <w:p>
      <w:r>
        <w:rPr>
          <w:b/>
        </w:rPr>
        <w:t xml:space="preserve">Quelle: </w:t>
      </w:r>
      <w:r>
        <w:t>https://mcp.opencaselaw.ch/entscheid/vd_findinfo_HC___2014___811</w:t>
      </w:r>
    </w:p>
    <w:p>
      <w:r>
        <w:t>FR: VD_FINDINFO HC / 2014 / 811 du 15 septembre 2014</w:t>
      </w:r>
    </w:p>
    <w:p>
      <w:r>
        <w:t>IT: VD_FINDINFO HC / 2014 / 811 del 15 settembre 2014</w:t>
      </w:r>
    </w:p>
    <w:p>
      <w:pPr>
        <w:pStyle w:val="Heading2"/>
      </w:pPr>
      <w:r>
        <w:t>Regeste</w:t>
      </w:r>
    </w:p>
    <w:p>
      <w:r>
        <w:t>MODÉRATION, HONORAIRES, DÉPENS | 29 Cst., 45 al. 1 LPAv, 51 LPAv, 117 al. 1 LPA-VD, 55 LPA-VD</w:t>
      </w:r>
    </w:p>
    <w:p>
      <w:pPr>
        <w:pStyle w:val="Heading2"/>
      </w:pPr>
      <w:r>
        <w:t>Erwägungen</w:t>
      </w:r>
    </w:p>
    <w:p>
      <w:r>
        <w:rPr>
          <w:b/>
        </w:rPr>
        <w:t>E. 11</w:t>
      </w:r>
    </w:p>
    <w:p>
      <w:r>
        <w:t>En définitive, le recours de T.________ doit être admis et le jugement entrepris réformé au chiffre III de son dispositif dans le sens des considérants. Comme déjà relevé ci-dessus (c. 9), les frais judiciaires de deuxième instance, arrêtés à 2'000 fr., seront supportés par O.________ qui succombe. La recourante qui obtient gain de cause est représentée par un mandataire professionnel. O.________ doit par conséquent lui verser la somme de 2'000 fr. (art. 8 TDC [tarif du 23 novembre 2010 des dépens en matière civile ; RSV 270.11.6]) à titre de dépens et de restitution d’avance de frais de deuxième instance (art. 111 al. 2 CPC). Par ces motifs, la Chambre des recours civile du Tribunal cantonal, statuant à huis clos, prononce : I. Le recours de O.________ est rejeté. II. Les frais judiciaires de deuxième instance, arrêtés à 2'000 fr. (deux mille francs), sont mis à la charge du recourant O.________. III. Le recours de T.________ est admis. IV. Le prononcé est réformé comme suit au chiffre III de son dispositif : III. O.________ doit verser à T.________ la somme de 3'000 fr. (trois mille francs) à titre de dépens et de remboursement de coupon de modération. Le prononcé est confirmé pour le surplus. V. O.________ doit verser à T.________ la somme de 2'000 fr. (deux mille francs) à titre de dépens et de restitution d’avance de frais de deuxième instance. VI. L’arrêt motivé est exécutoire. Le président :               La greffière : Du</w:t>
      </w:r>
    </w:p>
    <w:p>
      <w:r>
        <w:rPr>
          <w:b/>
        </w:rPr>
        <w:t>E. 16</w:t>
      </w:r>
    </w:p>
    <w:p>
      <w:r>
        <w:t>septembre 2014 Le dispositif de l'arrêt qui précède est communiqué par écrit aux intéressés. La greffière : Du L'arrêt qui précède, dont la rédaction a été approuvée à huis clos, est notifié en expédition complète, par l'envoi de photocopies, à : ‑ Me O.________, ‑ Me Jean-Pierre Gross, (pour T.________). La Chambre des recours civile considère que la valeur litigieuse est de 36’005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