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808 vom 10. Oktober 2014</w:t>
      </w:r>
    </w:p>
    <w:p>
      <w:r>
        <w:t>VD Tribunal cantonal, 2014-10-10, FR</w:t>
      </w:r>
    </w:p>
    <w:p>
      <w:r>
        <w:rPr>
          <w:b/>
        </w:rPr>
        <w:t xml:space="preserve">Quelle: </w:t>
      </w:r>
      <w:r>
        <w:t>https://mcp.opencaselaw.ch/entscheid/vd_findinfo_HC___2014___808</w:t>
      </w:r>
    </w:p>
    <w:p>
      <w:r>
        <w:t>FR: VD_FINDINFO HC / 2014 / 808 du 10 octobre 2014</w:t>
      </w:r>
    </w:p>
    <w:p>
      <w:r>
        <w:t>IT: VD_FINDINFO HC / 2014 / 808 del 10 ottobre 2014</w:t>
      </w:r>
    </w:p>
    <w:p>
      <w:pPr>
        <w:pStyle w:val="Heading2"/>
      </w:pPr>
      <w:r>
        <w:t>Regeste</w:t>
      </w:r>
    </w:p>
    <w:p>
      <w:r>
        <w:t>OBLIGATION D'ENTRETIEN, PROTECTION DE L'UNION CONJUGALE, DIRECTIVE{INJONCTION}, DÉBITEUR | 176 CC, 177 CC</w:t>
      </w:r>
    </w:p>
    <w:p>
      <w:pPr>
        <w:pStyle w:val="Heading2"/>
      </w:pPr>
      <w:r>
        <w:t>Erwägungen</w:t>
      </w:r>
    </w:p>
    <w:p>
      <w:r>
        <w:rPr>
          <w:b/>
        </w:rPr>
        <w:t>E. 1</w:t>
      </w:r>
    </w:p>
    <w:p>
      <w:r>
        <w:t>L’art. 308 al. 1 let. b CPC (Code de procédure civile du 19 décembre 2008, RS 272) ouvre la voie de l’appel contre les ordonnances de mesures provisionnelles rendues dans les causes non patrimoniales ou dont la valeur litigieuse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Formé en temps utile par une partie qui y a intérêt et portant sur une cause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w:t>
      </w:r>
    </w:p>
    <w:p>
      <w:r>
        <w:rPr>
          <w:b/>
        </w:rPr>
        <w:t>E. 3</w:t>
      </w:r>
    </w:p>
    <w:p>
      <w:r>
        <w:t>L’appelant conteste devoir verser une contribution d’entretien à son épouse.</w:t>
      </w:r>
    </w:p>
    <w:p>
      <w:r>
        <w:rPr>
          <w:b/>
        </w:rPr>
        <w:t>E. 3.1</w:t>
      </w:r>
    </w:p>
    <w:p>
      <w:r>
        <w:t>Le montant de la contribution d’entretien se détermine en fonction des facultés économiques et des besoins respectifs des époux. Le législateur n’a pas arrêté de mode de calcul à cette fin. L’une des méthodes préconisées par le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 b/bb). Lorsqu’il est établi que les conjoints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 119 II 314 c. 4b).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(ATF 137 III 102 c. 4.2.1.1 ; TF 5A_65/2012 du 20 juin 2012 c. 6.1).</w:t>
      </w:r>
    </w:p>
    <w:p>
      <w:r>
        <w:rPr>
          <w:b/>
        </w:rPr>
        <w:t>E. 3.2</w:t>
      </w:r>
    </w:p>
    <w:p>
      <w:r>
        <w:t>Selon l’appelant, le premier juge ne pouvait pas retenir les revenus 2012 comme constants pour 2013, dès lors qu’il est en arrêt maladie depuis 2013, qu’il travaille à plein temps pour « [...]», dont il est le moteur, qu’il doit générer suffisamment de chiffre d’affaires pour une masse salariale de plus de 450'000 fr., qu’il n’a pas d’assurance perte de gain pour son travail dans les deux autres sociétés et qu’on ne saurait donc lui imputer un revenu pour ses deux activités accessoires. Il relève que son seul revenu est constitué de son salaire et des indemnités journalières de l’assurance perte de gain pour un total de 4'375 francs. Le premier juge a retenu que l’appelant réalisait un revenu total de 9'313 fr. dès le 1 er mars 2014, comprenant un montant de 755 fr. pour son activité à titre d’indépendant. Pour ce faire, il s’est appuyé sur les revenus annuels déclarés aux impôts par l’appelant pour l’année 2012, de 18'111 fr., dont il a retenu la moitié dans le cadre des revenus mensuels de celui-ci pour tenir compte de son incapacité de travail à 50% (18'111 fr. / 2 / 12). Cette appréciation est favorable à l’appelant. En effet, d’une part, le premier juge a calculé le revenu d’indépendant de celui-ci uniquement sur l’année 2012, alors qu’il aurait pu tenir compte du bénéfice net moyen réalisé durant plusieurs années, soit 2011 et 2012 (cf. TF 5A_246/2009 du 22 mars 2010 c. 3.1, in FamPra.ch 2010 678 et les références), étant relevé que le revenu d’indépendant pour 2011 s’élevait à 45'477 francs. D’autre part, les nouveaux comptes produits sont meilleurs pour l’année 2013 que pour l’année 2012 (2'121 fr. 33 de bénéfice pour 2013 contre un déficit de 26'769 fr. 12 en 2012), de sorte que le salaire d’indépendant déclaré pour 2013 devrait être supérieur à celui de l’année 2012. Enfin, il résulte du courrier de l’Office de l’assurance invalidité du 13 mars 2014 que l’appelant envisage une reprise à plein temps de son activité et ce dans un proche avenir ; ainsi, les revenus devraient encore croître très prochainement. Au regard de l’ensemble de ces éléments, on ne saurait retenir un salaire inférieur à celui retenu par le premier juge.</w:t>
      </w:r>
    </w:p>
    <w:p>
      <w:r>
        <w:rPr>
          <w:b/>
        </w:rPr>
        <w:t>E. 3.3</w:t>
      </w:r>
    </w:p>
    <w:p>
      <w:r>
        <w:t>L’appelant reproche au premier juge de ne pas avoir retenu l’amortissement de la dette hypothécaire à hauteur de 15'000 fr. par année. Se référant à la pièce 152 de son bordereau du 9 mai 2014, il soutient qu’il s’agit d’un amortissement obligatoire. Le premier juge a relevé que le prêt hypothécaire des parties était amorti indirectement vie un compte épargne 3 ème pilier auprès de la [...] à hauteur de 1'650 fr. par semestre, mais n’en a pas tenu compte dans le cadre des charges de l’appelant. Cette appréciation est conforme à la jurisprudence du Tribunal fédéral, selon laquelle l’amortissement de la dette hypothécaire, qui ne sert pas à l’entretien, mais à la constitution du patrimoine, n’a en principe pas à être pris en considération pour le calcul du minimum vital (TF 5C.84/2006 du 29 septembre 2006 c. 2.2.3). Pour le reste, il ne résulte pas des pièces figurant au dossier qu’il s’agirait d’un amortissement obligatoire.</w:t>
      </w:r>
    </w:p>
    <w:p>
      <w:r>
        <w:rPr>
          <w:b/>
        </w:rPr>
        <w:t>E. 3.4</w:t>
      </w:r>
    </w:p>
    <w:p>
      <w:r>
        <w:t>L’appelant considère qu’il y a lieu d’imputer un revenu hypothétique à l’intimée.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En l’espèce, l’intimée travaille à mi temps comme assistante dentaire. De plus, elle a effectué des recherches à la fin de l’année 2013 pour augmenter son taux d’activité, sans succès toutefois. Reste que selon un certificat médical établi le 8 mai 2014, elle ne peut travailler à plus de 50% pour une période indéterminée. Ainsi, en l’état de la procédure et compte tenu des circonstances, on ne saurait lui imputer un revenu supérieur à ses gains effectifs.</w:t>
      </w:r>
    </w:p>
    <w:p>
      <w:r>
        <w:rPr>
          <w:b/>
        </w:rPr>
        <w:t>E. 3.5</w:t>
      </w:r>
    </w:p>
    <w:p>
      <w:r>
        <w:t>L’appelant se plaint que le premier juge a retenu un loyer inexistant à la charge de l’intimée. Les charges retenues par le premier juge pour l’intimée ne portent toutefois pas le flanc à la critique et doivent être confirmées au regard des pièces du dossier.</w:t>
      </w:r>
    </w:p>
    <w:p>
      <w:r>
        <w:rPr>
          <w:b/>
        </w:rPr>
        <w:t>E. 3.6</w:t>
      </w:r>
    </w:p>
    <w:p>
      <w:r>
        <w:t>L’appelant reproche au premier juge de ne pas avoir tenu compte de l’entretien de [...] et des frais d’orthodontie de [...]. C’est à juste titre que le premier juge n’a pas tenu compte des charges de [...], celle-ci étant majeure et l’obligation d’entretien du conjoint l’emportant sur celle de l’enfant majeur (cf. ATF 132 III 209). Enfin, la question des frais d’orthodontie repose sur des allégations nouvelles, lesquelles ne sont aucunement documentées par la production de pièces.</w:t>
      </w:r>
    </w:p>
    <w:p>
      <w:r>
        <w:rPr>
          <w:b/>
        </w:rPr>
        <w:t>E. 4</w:t>
      </w:r>
    </w:p>
    <w:p>
      <w:r>
        <w:t>L’appelant conteste le prononcé de l’avis aux débiteurs.</w:t>
      </w:r>
    </w:p>
    <w:p>
      <w:r>
        <w:rPr>
          <w:b/>
        </w:rPr>
        <w:t>E. 4.1</w:t>
      </w:r>
    </w:p>
    <w:p>
      <w:r>
        <w:t>Aux termes de l’art. 177 CC, lorsqu’un époux ne satisfait pas à son devoir d’entretien, le juge peut prescrire aux débiteurs de cet époux d’opérer tout ou partie de leurs paiements entre les mains de son conjoint (Bräm/Hasenböhler, Zürcher Kommentar, 1998, n. 17 ad art. 177 CC, p. 648).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(TF 5A_236/2011 du 20 octobre 2011 c. 5.3; 5P.427/2003 du 12 décembre 2003 c. 2.2 publié in: FamPra.ch 2004 372). A l’appui de sa requête, le créancier d’entretien doit démontrer être au bénéfice d’un titre exécutoire; par ailleurs, le minimum vital du débirentier doit, en principe, être respecté (ATF 110 II 9 c. 4b ; Jean-Luc Tschumy, Les contributions d’entretien et l’exécution forcée. Deux cas d’application, l’avis au débiteur et la participation privilégiée à la saisie in : JdT 2006 1117, p. 20 s.; Françoise Bastons Bulletti, Les moyens d’exécution des contributions d’entretien après divorce et les prestations d’aide sociale, in: Pichonnaz et al. (éd.), Droit patrimonial de la famille, symposium en droit de la famille 2004, Université de Fribourg, p. 59 ss, p. 78ss). En l’espèce, il ressort du dossier que l’intimée s’est vue contrainte de requérir un avis aux débiteurs à l’encontre de l’appelant à quatre reprises, soit les 18 février, 21 mars, 10 avril et 6 juin 2014. En outre, l’appelant a cessé de verser la contribution d’entretien depuis octobre 2013 et n’a versé la contribution due pour février 2014 qu’une fois une requête d’avis aux débiteurs déposée. Pour la pension de mars 2014, l’appelant a versé 1'000 fr. le 14 mars 2014 et le solde après le dépôt de la seconde requête le 21 mars 2014. Quant à la contribution due pour avril 2014, un avis aux débiteurs a été adressé à l’employeur de l’appelant, la société « [...]», le 11 avril 2014 sur requête de l’intimée. Aux termes de la première ordonnance, l’appelant avait indiqué que cet avis était parvenu à son employeur après que les salaires avaient été versés, l’empêchant par conséquent de s’exécuter, ce qui n’est pas plausible dans la mesure où il ressort du dossier que les salaires sont versés le 25 du mois. Tout ceci laisse penser que l’appelant n’a vraisemblablement pas l’intention de s’acquitter de son obligation d’entretien. De plus, l’appelant indique uniquement ne pas avoir les moyens suffisants pour faire face à ses charges, ce qui est toutefois contredit par les faits exposés ci-dessus étayés par les pièces du dossier. C’est donc à bon droit que le premier juge a ordonné l’avis aux débiteurs.</w:t>
      </w:r>
    </w:p>
    <w:p>
      <w:r>
        <w:rPr>
          <w:b/>
        </w:rPr>
        <w:t>E. 5</w:t>
      </w:r>
    </w:p>
    <w:p>
      <w:r>
        <w:t>Au vu de ce qui précède, l’appel doit être rejeté et l’ordonnance confirmée. Les frais judicaires de deuxième instance, arrêtés à 600 fr (art. 65 al. 2 TFJC [Tarif des frais judiciaires civils du 28 septembre 2010 ; RSV 270.11.5]), sont mis à la charge de l’appelant, qui succombe (art. 106 al. 1 CPC). Vu le sort de la cause, la requête d’assistance judiciaire de l’appelant doit être rejetée (art. 117 CPC). Par ces motifs, la juge déléguée de la Cour d’appel civile du Tribunal cantonal, statuant à huis clos, prononce : I. L’appel est rejeté. II. L’ordonnance est confirmée. III. La requête d’assistance judiciaire est rejetée. IV. Les frais judiciaires de deuxième instance, arrêtés à 600 fr. (six cents francs), sont mis à la charge de l’appelant T.________. V. L’arrêt motivé est exécutoire. La juge déléguée : Le greffier : Du 13 octobre 2014 Le dispositif de l'arrêt qui précède est communiqué par écrit aux intéressés. Le greffier : Du L'arrêt qui précède, dont la rédaction a été approuvée à huis clos, est notifié en expédition complète, par l'envoi de photocopies à : ‑ Mme Regina Andrade Ortuno (pour T.________) ‑ Mme Irène Wettstein Martin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