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806 vom 20. Oktober 2014</w:t>
      </w:r>
    </w:p>
    <w:p>
      <w:r>
        <w:t>VD Tribunal cantonal, 2014-10-20, FR</w:t>
      </w:r>
    </w:p>
    <w:p>
      <w:r>
        <w:rPr>
          <w:b/>
        </w:rPr>
        <w:t xml:space="preserve">Quelle: </w:t>
      </w:r>
      <w:r>
        <w:t>https://mcp.opencaselaw.ch/entscheid/vd_findinfo_HC___2014___806</w:t>
      </w:r>
    </w:p>
    <w:p>
      <w:r>
        <w:t>FR: VD_FINDINFO HC / 2014 / 806 du 20 octobre 2014</w:t>
      </w:r>
    </w:p>
    <w:p>
      <w:r>
        <w:t>IT: VD_FINDINFO HC / 2014 / 806 del 20 ottobre 2014</w:t>
      </w:r>
    </w:p>
    <w:p>
      <w:pPr>
        <w:pStyle w:val="Heading2"/>
      </w:pPr>
      <w:r>
        <w:t>Regeste</w:t>
      </w:r>
    </w:p>
    <w:p>
      <w:r>
        <w:t>EXPULSION DE LOCATAIRE | 257d CO</w:t>
      </w:r>
    </w:p>
    <w:p>
      <w:pPr>
        <w:pStyle w:val="Heading2"/>
      </w:pPr>
      <w:r>
        <w:t>Erwägungen</w:t>
      </w:r>
    </w:p>
    <w:p>
      <w:r>
        <w:rPr>
          <w:b/>
        </w:rPr>
        <w:t>E. 1</w:t>
      </w:r>
    </w:p>
    <w:p>
      <w:r>
        <w:t>a) L'art. 308 al. 1 et 2 CPC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83 ; TF 4A_634/2009 du 3 mars 2010 c. 1.1 ; SJ 2001 I 17 c. 1a ; ATF 119 II 147 c. 1). En l’espèce, le litige porte sur le bien-fondé d’une ordonnance d’expulsion d’un logement dont le loyer mensuel s’élève à 962 francs. En prenant la période de protection de trois ans, la valeur litigieuse de première instance dépasse le montant de 10'000 fr., de sorte que la voie de l’appel est ouverte.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Formé en temps utile par le locataire qui y a intérêt (art. 59 al. 2 let. a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b) En l’espèce, l’appelant a produit une copie du courrier que l’intimé lui avait adressé le 9 septembre 2014 à la suite de son versement de 1'410 fr. le 3 septembre précédent ainsi que deux ordonnances établies par le Centre hospitalier universitaire vaudois (ci-après : le CHUV) en date du 26 août 2014, soit avant que l’ordonnance entreprise ait été rendue. La première pièce figure déjà au dossier de première instance de sorte qu’elle est recevable. En revanche, l’appelant ne démontrant pas qu’il lui aurait été impossible malgré sa diligence de produire les ordonnances du CHUV devant le premier juge (art. 317 al. 1 let. a et b CPC), celles-ci sont irrecevables.</w:t>
      </w:r>
    </w:p>
    <w:p>
      <w:r>
        <w:rPr>
          <w:b/>
        </w:rPr>
        <w:t>E. 3</w:t>
      </w:r>
    </w:p>
    <w:p>
      <w:r>
        <w:t>L’appelant ne conteste pas ne pas avoir payé les loyers de mars à mai 2014. Il se prévaut toutefois du fait que, le 3 septembre 2014, il aurait réglé tous les loyers échus. II fait aussi état de sa situation personnelle difficile, précisant qu’il n’a pas d’autres endroits où loger, qu’il souffre de problèmes respiratoires et qu’il a fait une demande de rente auprès de l’assurance-invalidité.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(TF, arrêt du 27 février 1997,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4A_252/2014 du 28 mai 2014 c. 4.2; TF 4C_74/2006 du 12 mai 2006, c. 3.2.1; Lachat, Le bail à loyer, 2 e éd.,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2008, n. 2 ad art. 17 aLPEBL, p. 196 et références). Cette jurisprudence garde sa pertinence sous l’empire du CPC (CACI 27 mars 2014/160 et références). b) En l’espèce, l’appelant ne conteste pas que les conditions posées par l’art. 257d CO étaient réalisées. Le bailleur était donc en droit de résilier le bail avec effet au 30 juin 2014 et de requérir l’expulsion, indépendamment de la situation personnelle du locataire, d’éventuels motifs humanitaires n’entrant pas en ligne de compte à ce stade. Il importe au surplus peu que l’appelant soit aujourd’hui à jour dans le règlement de son loyer, l’arriéré n’ayant été payé que le 3 septembre 2014, soit bien après l’échéance du délai comminatoire le 26 avril 2014. Quant au délai de libération des locaux de trois semaines, fixé par le premier juge au 26 septembre 2014, il est conforme à la jurisprudence susmentionnée et a été prolongé du fait de l’effet suspensif accordé à l’appel.</w:t>
      </w:r>
    </w:p>
    <w:p>
      <w:r>
        <w:rPr>
          <w:b/>
        </w:rPr>
        <w:t>E. 4</w:t>
      </w:r>
    </w:p>
    <w:p>
      <w:r>
        <w:t>Au vu de ce qui précède, l’appel doit être rejeté selon le mode procédural de l'art. 312 al. 1 CPC et l’ordonnance confirmée. Compte tenu de l’effet suspensif accordé à l’appel de par la loi (art. 315 al. 1 CPC), la cause doit être renvoyée au premier juge afin qu’il fixe à l’appelant, une fois les considérants écrits du présent arrêt envoyés, un nouveau délai pour libérer les locaux en cause. Les frais judiciaires de deuxième instance, arrêtés à 100 fr. (art 62 al. 3 et 69 al. 1 TFJC [tarif des frais judiciaires civils du 28 septembre 2010, RSV 270.11.5]) seront mis à la charge de l’appelant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