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803 vom 1. September 2014</w:t>
      </w:r>
    </w:p>
    <w:p>
      <w:r>
        <w:t>VD Tribunal cantonal, 2014-09-01, FR</w:t>
      </w:r>
    </w:p>
    <w:p>
      <w:r>
        <w:rPr>
          <w:b/>
        </w:rPr>
        <w:t xml:space="preserve">Quelle: </w:t>
      </w:r>
      <w:r>
        <w:t>https://mcp.opencaselaw.ch/entscheid/vd_findinfo_HC___2014___803</w:t>
      </w:r>
    </w:p>
    <w:p>
      <w:r>
        <w:t>FR: VD_FINDINFO HC / 2014 / 803 du 1 septembre 2014</w:t>
      </w:r>
    </w:p>
    <w:p>
      <w:r>
        <w:t>IT: VD_FINDINFO HC / 2014 / 803 del 1 settembre 2014</w:t>
      </w:r>
    </w:p>
    <w:p>
      <w:pPr>
        <w:pStyle w:val="Heading2"/>
      </w:pPr>
      <w:r>
        <w:t>Regeste</w:t>
      </w:r>
    </w:p>
    <w:p>
      <w:r>
        <w:t>EXÉCUTEUR TESTAMENTAIRE, BLOCAGE, DÉVOLUTION DE LA SUCCESSION, ADMISSION DE LA DEMANDE, DROIT D'ÊTRE ENTENDU, MOTIVATION DE LA DÉCISION | 551 CC, 553 CC, 29 al. 1 Cst.</w:t>
      </w:r>
    </w:p>
    <w:p>
      <w:pPr>
        <w:pStyle w:val="Heading2"/>
      </w:pPr>
      <w:r>
        <w:t>Erwägungen</w:t>
      </w:r>
    </w:p>
    <w:p>
      <w:r>
        <w:rPr>
          <w:b/>
        </w:rPr>
        <w:t>E. 1</w:t>
      </w:r>
    </w:p>
    <w:p>
      <w:r>
        <w:t>Pour toutes les affaires gracieuses de droit fédéral, il est statué conformément aux art. 104 à 109 CDPJ (Code de droit privé judiciaire vaudois du 12 janvier 2010, RSV 211.02) (art. 11 CDPJ). L’application de la procédure sommaire implique que la voie de droit ouverte est celle de l’art. 109 al. 3 CDPJ, auquel les art. 319 ss CPC s’appliquent à titre supplétif (art. 104 al. 1 CDPJ). Le recours, écrit et motivé, est introduit dans les dix jours à compter de la notification de la décision motivée auprès de l’instance de recours (art. 321 al.1 et 2 CPC), soit, en l’occurrence, la Chambre des recours civile (art. 73 al.1 LOJV). Statuant sur la requête des exécuteurs testamentaires, la Juge de paix a refusé de leur autoriser à prélever une somme de la succession. Le recours, déposé le 14 juillet 2014, l’a été en temps utile. En leur qualité d’exécuteurs testamentaires, B.O.________ et A.O.________ ont un intérêt juridique à recourir. Il s’ensuit que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En l’espèce, les pièces produites par les recourants qui ne figurent pas déjà au dossier de première instance sont irrecevables, à l’exception de la pièce 3 (extrait internet du Registre du commerce de R.________ SA) qui n’est pas à proprement parler irrecevable, dès lors qu’il s’agit d’un fait notoire, à savoir du contenu d’un registre public accessible à chacun (ATF 135 II 88 c. 4.1 ; CREC 29 janvier 2014/35). Quant aux pièces produites par l’intimée L.________, elles sont irrecevables.</w:t>
      </w:r>
    </w:p>
    <w:p>
      <w:r>
        <w:rPr>
          <w:b/>
        </w:rPr>
        <w:t>E. 3</w:t>
      </w:r>
    </w:p>
    <w:p>
      <w:r>
        <w:t>a) Les recourants font valoir en premier lieu une violation de leur droit d’être entendu. En particulier, ils reprochent au premier juge de ne pas avoir exposé pour quels motifs il ne lui appartenait pas de statuer sur la mesure sollicitée, ou dans quelle mesure le refus de l’héritière L.________ était déterminant. b) La jurisprudence applicable à l’art. 29 al. 2 Cst. (Constitution fédérale du 18 avril 1999, RS 101)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126 I 97 c. 2b; ATF 124 V 180 c. la p. 181; ATF 123 I 31 c. 2c p. 34). L’autorité n’a pas l’obligation d’exposer et de discuter tous les faits, moyens de preuve et griefs invoqués par les parties, mais elle peut au contraire se limiter à ceux qui, sans arbitraire, lui apparaissent pertinents (ATF 126 I 97 c. 2b; ATF 121 I 54 c. 2c p. 57 et les arrêts cités). L’étendue de la motivation dépend au demeurant de la liberté d’appréciation dont jouit le juge et de la gravité des conséquences de sa décision (ATF 112 la 107 c. 2b p. 110). c) En l’espèce, il faut certes relever que la décision attaquée n’est que très sommairement motivée. Cela étant, il ressort suffisamment clairement de la teneur de la décision attaquée que la Juge de paix a estimé qu’elle n’était pas compétente pour statuer sur la requête des recourants, et que, considérant l’opposition d’une héritière, elle refusait de donner suite à la requête. Or, il faut considérer que les recourants ont bien compris la décision et ont été en mesure de l’attaquer utilement et de s’en prendre à son bien-fondé. Il n’y a dès lors pas de violation de l’art. 29 al. 2 Cst. Ce grief est donc mal fondé et doit être rejeté.</w:t>
      </w:r>
    </w:p>
    <w:p>
      <w:r>
        <w:rPr>
          <w:b/>
        </w:rPr>
        <w:t>E. 4</w:t>
      </w:r>
    </w:p>
    <w:p>
      <w:r>
        <w:t>a) Les recourants font également valoir que le premier juge a erré en considérant qu’il était incompétent pour statuer, dès lors qu’il appartiendrait à l’autorité successorale d’ordonner les mesures conservatoires utiles, indépendamment de la volonté des héritiers. b) 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 à trancher les litiges entre ayants droit (Piotet, Droit successoral, Traité de droit privé suisse, 1975, p. 623). Selon la jurisprudence, l’inventaire successoral au sens de l’art. 553 al. 1 CC est une mesure de sûreté à caractère provisoire ne réglant pas le fond du litige (ATF 94 lI 55 c. 3). Son établissement a pour but de déterminer la consistance du patrimoine du défunt à l’ouverture de la succession; l’inventaire de l’art. 553 CC a donc aussi une fonction de preuve et tend à assurer la dévolution de l’hérédité, à savoir éviter que des biens ne disparaissent entre l’ouverture de la succession et le partage (TF 5A_434/2012 du 18 décembre 2012 c. 3.2.2 ; TF 5A_892/2011 du 21 juin 2012 c. 5.1.2; TF 5A_686/2011 du 28 novembre 2011 c. 2; TF 5P.400/1999 du 25 mai 2000 c. 5). Par ailleurs, l’exécuteur testamentaire doit veiller au paiement des dettes, aussi bien celles du de cujus que celles de la succession (Steinauer, le droit des successions, 2005, n. 1174). c) En l’espèce, en leur qualité d’exécuteurs testamentaires, il incombe aux recourants de conserver le patrimoine successoral et dès lors de veiller au paiement des dettes, contrairement notamment à ce qu’allègue l’intimée L.________. La Juge de paix ayant ordonné le blocage des comptes sur requête de l’ACI, il lui appartenait de statuer sur une requête tendant au règlement d’une facture relative à un actif successoral. On peut encore relever que les recourants soulèvent à juste titre que les déterminations ou voeux d’un héritier n’ont pas à être pris en compte ou ne sont pas déterminants dans le cadre de la mission des exécuteurs ou de la justice de paix tendant à la conservation du patrimoine du défunt jusqu’à la dévolution. Ce grief est donc fondé.</w:t>
      </w:r>
    </w:p>
    <w:p>
      <w:r>
        <w:rPr>
          <w:b/>
        </w:rPr>
        <w:t>E. 5</w:t>
      </w:r>
    </w:p>
    <w:p>
      <w:r>
        <w:t>a) Enfin, les recourants font valoir que dans l’hypothèse où l’on devait interpréter la décision entreprise comme une décision sur le fond, elle violerait l’art. 551 CC. En effet, les actions de R.________ SA constituant un bien successoral, il se justifierait d’éviter que cette société ne soit menacée dans son existence et sa substance. En outre, dès lors que R.________ SA, dont le seul but est la détention d’une société viticole, ne dégagerait aucun revenu, il y aurait lieu de prendre en charge ses dépenses nécessaires, comme le faisait H.K.________ de son vivant. Les recourants relèvent en outre que la Juge de paix avait précédemment déjà permis le paiement de dépenses courantes et utiles à la gestion ordinaire de la succession. L’intimée L.________ soutient quant à elle que le paiement des cotisations sociales de R.________ SA ne constitue pas un moyen d’assurer la dévolution de l’hérédité, et qu’il ne revient pas aux héritiers d’assumer la mauvaise gestion de cette société, laquelle disposerait au demeurant d’actifs suffisants par le biais de sa succursale SCI [...] pour s’acquitter de ses cotisations sociales. b) Le Code civil prévoit en son article 551 diverses mesures de sûreté destinées à assurer la dévolution des successions, dont l’inventaire. L’art. 553 CC définit les cas où l’inventaire de la succession doit être dressé, soit en particulier lorsqu’un héritier le demande. La jurisprudence a précisé que l’inventaire dressé à titre de mesure de sûreté est une mesure provisoire (ATF 94 lI 55, JT 1969 I 189), qui ne tend qu’à la conservation du patrimoine existant à l’ouverture de la succession, savoir à empêcher que des actifs ne disparaissent sans laisser de traces. Il n’est destiné ni à déterminer les parts successorales ou la quotité disponible ni à servir de base de calcul pour le partage (ATF 120 la 258, JT 1995 I 332). Vu sa nature, il doit principalement mentionner les actifs de la succession (Karrer, Basler Kommentar, 3 e éd., 2007, n. 3 ad art. 553 CC, p. 440). Toutefois, la doctrine majoritaire et la jurisprudence admettent qu’il peut également faire état des passifs, afin d’établir la consistance de la succession (Piotet, Droit successoral, Traité de droit privé suisse, tome IV, 1975, p. 619; contra Karrer, loc. cit. et références), sans constituer pour autant un inventaire avant partage (ATF 118 lI 264, spéc. p. 271 et références). Lorsque l’appartenance à la succession d’un actif ou d’un passif est contestée, la jurisprudence récente considère qu’il doit figurer avec la mention “sous réserve” dans l’inventaire conservatoire (ATF 118 II 264 précité, p. 272; Karrer, loc. cit.). c) En l’espèce, il ressort de l’inventaire conservatoire ordonné par la Juge de paix que 98 actions de la R.________ SA ont été portées à l’actif successoral. La facture faisant l’objet de la présente procédure concerne les charges sociales qui sont légalement dues sur les honoraires d’administrateurs de cette société. Il paraît clair que le règlement d’une telle facture permet de conserver l’actif successoral et surtout d’éviter ainsi que la société, qui n’a pas d’autres actifs que la détention d’actions, ne soit pas menacée dans son existence résultant du non paiement des charges sociales. A cet égard, les arguments soulevés par l’intimée L.________ relatifs à la SCI [...], filiale de R.________ SA sont sans pertinence, dès lors qu’il s’agit d’une entité juridique distincte. Ce grief est donc également fondé.</w:t>
      </w:r>
    </w:p>
    <w:p>
      <w:r>
        <w:rPr>
          <w:b/>
        </w:rPr>
        <w:t>E. 6</w:t>
      </w:r>
    </w:p>
    <w:p>
      <w:r>
        <w:t>En définitive, le recours doit être admis et la décision annulée, B.O.________ et A.O.________ étant autorisés à prélever la somme de 440 fr. 55 sur le compte bancaire n° [...] de la Banque V.________ SA. Les frais judiciaires de deuxième instance, arrêtés à 1'000 fr. (art. 74 al. 1 TFJC [tarif des frais judiciaires civils du 28 septembre 2010, RSV 270.11.5]), seront mis à la charge de l’intimée L.________. En effet, celle-ci s’étant opposée en première instance à la demande des exécuteurs testamentaires et ayant déposé une réponse concluant au rejet du recours, elle succombe et doit supporter les frais de deuxième instance (art. 106 al. 1 CPC). Elle versera en outre un montant de 800 fr. aux recourants à titre de dépens de deuxième instance. Par ces motifs, la Chambre des recours civile du Tribunal cantonal, statuant à huis clos, prononce : I. Le recours est admis. II. La décision du Juge de paix du district de Lausanne du 1 er juillet 2014 est annulée. III. B.O.________ et A.O.________, exécuteurs testamentaires de la succession de feu H.K.________, décédé le [...] 2010, sont autorisés à prélever la somme de 440 fr. 55 (quatre cent quarante francs et cinquante-cinq centimes) sur le compte bancaire n° [...] auprès de la Banque V.________ SA à Genève. IV. Les frais de deuxième instance, arrêtés à 1'000 fr. (mille francs), sont mis à la charge de l’intimée L.________. II. L’intimée L.________ doit verser aux recourants B.O.________ et A.O.________, solidairement entre eux, la somme de 1'800 fr. (mille huit cents francs) à titre de restitution d’avance de frais et de dépens de deuxième instance. II. L’arrêt motivé est exécutoire. Le président :               La greffière : Du 2 septembre 2014 Le dispositif de l'arrêt qui précède est communiqué par écrit aux intéressés. La greffière : Du L'arrêt qui précède, dont la rédaction a été approuvée à huis clos, est notifié en expédition complète, par l'envoi de photocopies, à : ‑ Me Jean-Philippe Rochat (pour B.O.________ et A.O.________), ‑ Me Pierre-André Béguin (pour L.________), ‑ Me Jean-Pierre Gross (pour G.K.________, I.K.________, J.K.________, M.K.________ et T.K.________).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