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798 vom 13. Oktober 2014</w:t>
      </w:r>
    </w:p>
    <w:p>
      <w:r>
        <w:t>VD Tribunal cantonal, 2014-10-13, FR</w:t>
      </w:r>
    </w:p>
    <w:p>
      <w:r>
        <w:rPr>
          <w:b/>
        </w:rPr>
        <w:t xml:space="preserve">Quelle: </w:t>
      </w:r>
      <w:r>
        <w:t>https://mcp.opencaselaw.ch/entscheid/vd_findinfo_HC___2014___798</w:t>
      </w:r>
    </w:p>
    <w:p>
      <w:r>
        <w:t>FR: VD_FINDINFO HC / 2014 / 798 du 13 octobre 2014</w:t>
      </w:r>
    </w:p>
    <w:p>
      <w:r>
        <w:t>IT: VD_FINDINFO HC / 2014 / 798 del 13 ottobre 2014</w:t>
      </w:r>
    </w:p>
    <w:p>
      <w:pPr>
        <w:pStyle w:val="Heading2"/>
      </w:pPr>
      <w:r>
        <w:t>Regeste</w:t>
      </w:r>
    </w:p>
    <w:p>
      <w:r>
        <w:t>DÉCISION D'IRRECEVABILITÉ, CONCLUSIONS, COMPÉTENCE RATIONE MATERIAE, PARTAGE SUCCESSORAL | 321 al. 1 CPC (CH)</w:t>
      </w:r>
    </w:p>
    <w:p>
      <w:pPr>
        <w:pStyle w:val="Heading2"/>
      </w:pPr>
      <w:r>
        <w:t>Erwägungen</w:t>
      </w:r>
    </w:p>
    <w:p>
      <w:r>
        <w:rPr>
          <w:b/>
        </w:rPr>
        <w:t>E. 3</w:t>
      </w:r>
    </w:p>
    <w:p>
      <w:r>
        <w:t>Par acte du</w:t>
      </w:r>
    </w:p>
    <w:p>
      <w:r>
        <w:rPr>
          <w:b/>
        </w:rPr>
        <w:t>E. 8</w:t>
      </w:r>
    </w:p>
    <w:p>
      <w:r>
        <w:t>octobre 2014, A.C.________ a fait recours contre la décision précitée, en demandant à ce que la Juge de paix prenne « les dispositions nécessaires pour mettre [sa] sœur et son représentant hors de [lui] nuire en [lui] accordant la faveur auprès des banques auxquelles ces personnes n’[avaient] rien à intervenir pour la division de 50% (…) ». 4. A teneur de l’art. 321 al. 1 CPC, le recours doit être introduit par un acte écrit et motivé. Pour que l'exigence de motivation soit remplie, l'autorité de recours doit en tout cas pouvoir comprendre ce qui est reproché au premier juge sans avoir à rechercher des griefs par elle-même, ce qui exige une certaine précision dans l'énoncé et la discussion des critiques formulées (CREC 25 octobre 2013/360; Jeandin, CPC commenté, 2011, n. 4 ad art. 321 CPC et n. 3 ad art. 311 CPC par analogie). Le recours doit en outre contenir, sous peine d'irrecevabilité, des conclusions en annulation ou au fond (Jeandin, op. cit., n. 5 ad art. 321 CPC), soit l’exposé de ce que la partie veut que le tribunal lui alloue dans sa décision (Tappy, CPC Commenté, 2011, n. 11 ad art. 221 CPC). Si l'autorité de seconde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(CREC 15 octobre 2012/363; Jeandin, op. cit., n. 4 ad art. 321 CPC et n. 5 ad art. 311 CPC par analogie). En l’espèce, dans son courrier du 8 octobre 2014, le recourant A.C.________ n’expose pas en quoi la décision entreprise serait contraire au droit ou contiendrait des constatations de fait insoutenables et ne prend aucune conclusion formelle en annulation ou au fond. S’il sollicite que soient prises les dispositions nécessaires pour lui accorder « la faveur auprès des banques », – par quoi l’on pourrait comprendre qu’il demande un certificat d’héritier –, il faut constater que ce certificat lui a d’ores et déjà été délivré (cf. chiffre 2 supra), de sorte qu’une telle conclusion serait sans objet. Comme l’a indiqué le premier juge, la requête formée par le recourant relève de la compétence du juge du partage. Partant, le recours doit être déclaré irrecevable. L’arrêt peut être rendu sans frais judiciaires (art. 6 al. 3 et 11 TFJC [tarif des frais judiciaires civils du 28 septembre 2010, RSV 270.11.5]). Par ces motifs, la Chambre des recours civile du Tribunal cantonal, statuant à huis clos, en application de l'art. 322 al. 1 CPC, prononce : I. Le recours est irrecevable. III. L’arrêt, rendu sans frais, est exécutoire. Le président :               La greffière : Du L'arrêt qui précède, dont la rédaction a été approuvée à huis clos, est notifié à : ‑ M. A.C.________, - Mme B.C.________, - M. Q.________.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