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779 vom 6. Oktober 2014</w:t>
      </w:r>
    </w:p>
    <w:p>
      <w:r>
        <w:t>VD Tribunal cantonal, 2014-10-06, FR</w:t>
      </w:r>
    </w:p>
    <w:p>
      <w:r>
        <w:rPr>
          <w:b/>
        </w:rPr>
        <w:t xml:space="preserve">Quelle: </w:t>
      </w:r>
      <w:r>
        <w:t>https://mcp.opencaselaw.ch/entscheid/vd_findinfo_HC___2014___779</w:t>
      </w:r>
    </w:p>
    <w:p>
      <w:r>
        <w:t>FR: VD_FINDINFO HC / 2014 / 779 du 6 octobre 2014</w:t>
      </w:r>
    </w:p>
    <w:p>
      <w:r>
        <w:t>IT: VD_FINDINFO HC / 2014 / 779 del 6 ottobre 2014</w:t>
      </w:r>
    </w:p>
    <w:p>
      <w:pPr>
        <w:pStyle w:val="Heading2"/>
      </w:pPr>
      <w:r>
        <w:t>Regeste</w:t>
      </w:r>
    </w:p>
    <w:p>
      <w:r>
        <w:t>ASSISTANCE JUDICIAIRE, FRAIS JUDICIAIRES, TRANSACTION JUDICIAIRE, PROTECTION DE L'ENFANT | 26a LProMin, 241 al. 2 CPC (CH), 241 al. 3 CPC (CH)</w:t>
      </w:r>
    </w:p>
    <w:p>
      <w:pPr>
        <w:pStyle w:val="Heading2"/>
      </w:pPr>
      <w:r>
        <w:t>Erwägungen</w:t>
      </w:r>
    </w:p>
    <w:p>
      <w:r>
        <w:rPr>
          <w:b/>
        </w:rPr>
        <w:t>E. 6</w:t>
      </w:r>
    </w:p>
    <w:p>
      <w:r>
        <w:t>Me Paul-Arthur Treyvaud, qui a produit la liste de ses opérations à l’issue de l’audience du 29 septembre 2014, a droit à une rémunération équitable pour ses opérations et débours dans la procédure d'appel (art. 122 al. 1 let. a CPC). Le temps indiqué pour la rédaction de « 20 correspondances » (3h20) est excessif pour une procédure d’appel ne posant pas de difficultés particulières, cela d’autant plus qu’on ignore le détail et les destinataires des correspondances alléguées, ainsi que le temps consacré à la rédaction de chacune d’entre elles, de sorte qu’il ne sera retenu qu’une heure de travail, le total des honoraires étant ainsi réduit de 10h à 7h40. Au tarif horaire de 180 fr. (art. 2 al. 1 let. a RAJ [règlement du 7 décembre 2010 sur l'assistance judiciaire en matière civile ; RSV 211.02.3), l'indemnité d'honoraires doit être arrêtée à 1'490 fr. 40, soit 1’380 fr. plus 110 fr. 40 de TVA à 8 %, et les débours à 173 fr. 90, soit 161 fr. plus 12 fr. 90 de TVA, ce qui fait un total de 1'664 fr. 30. La bénéficiaire de l'assistance judiciaire est, dans la mesure de l'art. 123 CPC, tenue au remboursement de l'indemnité au conseil d'office mise à la charge de l'Etat.</w:t>
      </w:r>
    </w:p>
    <w:p>
      <w:r>
        <w:rPr>
          <w:b/>
        </w:rPr>
        <w:t>E. 7</w:t>
      </w:r>
    </w:p>
    <w:p>
      <w:r>
        <w:t>La transaction du 29 septembre 2014, qui a les effets d'une décision entrée en force (art. 241 al. 2 CPC), met fin à la procédure d'appel. Il y a dès lors lieu de rayer la cause du rôle (art. 241 al. 3 CPC). Par ces motifs, le Juge délégué de la Cour d'appel civile du Tribunal cantonal, statuant à huis clos, prononce : I. Les chiffres I, II, IV, V, VI et VII de la convention signée par les parties le 29 septembre 2014 sont ratifiés pour valoir arrêt sur appel de mesures protectrices de l’union conjugale. Leur teneur est la suivante : « I. Parties conviennent de modifier le chiffre VII de l’ordonnance de mesures protectrices de l’union conjugale du 30 mai 2014 en ce sens que A.T.________ exercera un libre et large droit de visite sur ses filles C.T.________ et D.T.________, d’entente avec leur mère. A défaut d’entente préalable, il pourra avoir ses filles auprès de lui de la manière suivante : - tous les week-ends du vendredi à la sortie de l’école au dimanche soir à 19 heures. - la moitié des vacances scolaires. - alternativement à Noël / Nouvel An, Pâques / Pentecôte, Ascension / Jeûne fédéral. A.T.________ se chargera de prendre et de ramener les enfants là où elles se trouvent. II. Le chiffre IX de l’ordonnance susmentionnée est modifié en ce sens que, dès le 1 er octobre 2014, A.T.________ contribuera à l’entretien des siens par le versement d’une contribution de 1'600 fr. (mille six cents francs), allocations familiales en sus, payable au plus tard le cinq de chaque mois en mains d’B.T.________. Cette contribution est calculée sur la base d’un revenu mensuel net de A.T.________ de 6'292 fr. treizième salaire compris et d’un revenu mensuel net d’B.T.________ de 1'816 francs. IV. A.T.________ déclare qu’il prête gratuitement à B.T.________ la voiture de marque Chevrolet Matiz (les frais d’entretien de ce véhicule étant à la charge de l’intimée). En contrepartie, l’intimée s’engage à restituer à l’appelant les clés de la voiture Audi A1 lors du prochain exercice du droit de visite. V. A.T.________ aidera activement B.T.________ dans ses recherches d’appartement. VI. L’ordonnance de mesures protectrices de l’union conjugale du 30 mai 2014 est maintenue pour le surplus. VII. Chaque partie garde ses frais et renonce à l’allocation de dépens ». II. Les frais judiciaires de deuxième instance, arrêtés à 400 fr. (quatre cents francs), sont mis à la charge de l’appelant A.T.________. III. L'indemnité d'office de Me Paul-Arthur Treyvaud, conseil de l’intimée, est arrêtée à 1'664 fr. 30 (mille six cent soixante-quatre francs et trente centimes), TVA et débours compris. IV. La bénéficiaire de l'assistance judiciaire est, dans la mesure de l'art. 123 CPC, tenue au remboursement de l'indemnité au conseil d'office mise à la charge de l'Etat. V. Il n'est pas alloué de dépens de deuxième instance. VI. La cause est rayée du rôle. VII. L'arrêt est exécutoire. Le juge délégué : La greffière : Du L'arrêt qui précède, dont la rédaction a été approuvée à huis clos, est notifié à : ‑ Me Manuela Ryter Godel (pour A.T.________) ‑ Me Paul-Arthur Treyvaud (pour B.T.________) ‑ Service de protection de la jeunesse ‑ Justice de paix du district du Jura –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