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774 vom 4. August 2014</w:t>
      </w:r>
    </w:p>
    <w:p>
      <w:r>
        <w:t>VD Tribunal cantonal, 2014-08-04, FR</w:t>
      </w:r>
    </w:p>
    <w:p>
      <w:r>
        <w:rPr>
          <w:b/>
        </w:rPr>
        <w:t xml:space="preserve">Quelle: </w:t>
      </w:r>
      <w:r>
        <w:t>https://mcp.opencaselaw.ch/entscheid/vd_findinfo_HC___2014___774</w:t>
      </w:r>
    </w:p>
    <w:p>
      <w:r>
        <w:t>FR: VD_FINDINFO HC / 2014 / 774 du 4 août 2014</w:t>
      </w:r>
    </w:p>
    <w:p>
      <w:r>
        <w:t>IT: VD_FINDINFO HC / 2014 / 774 del 4 agosto 2014</w:t>
      </w:r>
    </w:p>
    <w:p>
      <w:pPr>
        <w:pStyle w:val="Heading2"/>
      </w:pPr>
      <w:r>
        <w:t>Regeste</w:t>
      </w:r>
    </w:p>
    <w:p>
      <w:r>
        <w:t>PROCÉDURE DE CONCILIATION, DÉCISION FINALE, DÉPENS | 110 CPC (CH), 212 CPC (CH), 95 al. 3 let. b CPC (CH)</w:t>
      </w:r>
    </w:p>
    <w:p>
      <w:pPr>
        <w:pStyle w:val="Heading2"/>
      </w:pPr>
      <w:r>
        <w:t>Erwägungen</w:t>
      </w:r>
    </w:p>
    <w:p>
      <w:r>
        <w:rPr>
          <w:b/>
        </w:rPr>
        <w:t>E. 1</w:t>
      </w:r>
    </w:p>
    <w:p>
      <w:r>
        <w:t>L’art. 110 CPC ouvre la voie du recours séparé de l’art. 319 let. b ch. 1 CPC contre les décisions sur les frais.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 p. 1117). Selon l’art. 326 al. 1 CPC, la production de pièces nouvelles en deuxième instance est prohibée. En l’espèce le recourant a produit un exemplaire du jugement attaqué, un relevé « Track and Trace » relatif au pli ayant contenu ce jugement et une note d’honoraires du 1 er avril 2014. Les deux premières pièces sont recevables, dès lors que la production du jugement répond à l’exigence de l’art. 321 al. 3 CPC et que la seconde sert à établir la recevabilité du recours. En revanche, dans la mesure où la note d’honoraires tend à établir les honoraires de première instance, elle est irrecevable.</w:t>
      </w:r>
    </w:p>
    <w:p>
      <w:r>
        <w:rPr>
          <w:b/>
        </w:rPr>
        <w:t>E. 3</w:t>
      </w:r>
    </w:p>
    <w:p>
      <w:r>
        <w:t>Le recourant soutient que des dépens de première instance doivent lui être alloués pour un montant de 2'302 fr. 65. Aux termes de l'art. 212 CPC, l’autorité de conciliation peut, sur requête du demandeur, statuer au fond dans les litiges patrimoniaux dont la valeur litigieuse ne dépasse pas 2'000 francs. Ainsi, lorsqu'elle rend une décision au sens de l'art. 212 CPC, l'autorité de conciliation agit comme une véritable juridiction de première instance (Message du Conseil fédéral, Feuille fédérale [FF] 2006 6841, ad art. 209 du projet, p. 6942). Comme le relève Bohnet (CPC commenté, 2011, n. 7 ss ad art. 212 CPC, pp. 793-794), la procédure de décision, telle que prévue par l'art. 212 CPC, implique une requête de la part du demandeur, qui peut intervenir au plus tard en début d'audience. Si le demandeur retire sa requête postérieurement à son dépôt, son retrait vaut désistement d'action. En pareil cas, le demandeur sera chargé des frais en application de l'art. 106 al. 1, 2 e phrase CPC, ce qui implique l'éventuelle allocation de dépens à la partie défenderesse (art. 95 al. 1 CPC). On ne voit dès lors pas pourquoi il devrait en aller autrement lorsque la procédure de conciliation aboutit à une décision au fond selon l'art. 212 CPC. L'application des règles générales en matière de frais (art. 95 ss CPC) préconisée par plusieurs auteurs apparaît également pertinente (Honegger, Kommentar zur Schweizerischen Zivilprozessordnung [ZPO], Sutter-Somm/Hasenböhler/Leuenberger Hrsg, 2 e éd., 2013, n. 5 et 9 ad art. 212 CPC, pp. 1373-1374; Koslar, ZPO, Handkommentar, Baker &amp; McKenzie Hrsg, 2010, n. 3 ad art. 113 CPC, p. 485; Urwyler, ZPO, Kommentar, Brunner/Gasser/Schwander Hrsg, 2011, n. 4 ad art. 113, p. 634; Sandoz, La conciliation, in Procédure civile suisse, 2010, n. 74, p. 81; Schmid, ZPO, Kurzkommentar, Oberhammer Hrsg, 2 e éd., 2014, n. 2 ad art. 113 CPC, p. 590; contra : Tappy, CPC commenté, Bâle 2011, n. 6 ad art. 113 CPC, p. 455). La Chambre des recours civile s’est ralliée à l’avis de la doctrine majoritaire (CREC 23 avril 2012/151 c. 4 ; CREC 13 juillet 2007/205 ; CREC 2 juillet 2013/231). Au vu des considérations qui précèdent, le recourant, qui a obtenu gain de cause en première instance, avait droit à des dépens. Reste à déterminer leur quotité. Même si la procédure de conciliation n'est ni simplifiée ni sommaire, mais orale (art. 212 al. 2 CPC), on peut s'inspirer de l'art. 6 TDC (tarif du 23 novembre 2010 des dépens en matière civile; RSV 270.11.6), selon lequel, pour une valeur litigieuse inférieure à 2'000 fr., le défraiement d'un avocat en procédure sommaire doit être fixé entre 100 fr. et 600 francs. Dès lors que le conseil du recourant n’a pas assisté celui-ci durant l’entier de la procédure, il convient d’arrêter les dépens de première instance alloués au recourant à 450 francs.</w:t>
      </w:r>
    </w:p>
    <w:p>
      <w:r>
        <w:rPr>
          <w:b/>
        </w:rPr>
        <w:t>E. 4</w:t>
      </w:r>
    </w:p>
    <w:p>
      <w:r>
        <w:t>En conclusion, le recours doit être partiellement admis et le jugement réformé en ce sens que des dépens de première instance, par 450 fr., sont alloués au recourant. Vu l’issue du recours, les frais judiciaires de deuxième instance, arrêtés à 200 fr. (art. 69 al. 1 et 70 al. 3 TFJC [tarif du 28 septembre 2010 des frais judiciaires civils ; RSV 270.11.5]), doivent être mis à la charge du recourant, par 100 fr., et à la charge de l’intimée, par 100 fr. (art. 106 al. 2 CPC). L’intimée versera en conséquence au recourant la somme de 100 fr. en remboursement partiel de son avance de frais. Obtenant partiellement gain de cause en deuxième instance, le recourant a droit à des dépens réduits de deuxième instance, fixés à 300 francs. Par ces motifs, la Chambre des recours civile du Tribunal cantonal, statuant à huis clos, prononce : I. Le recours est partiellement admis. II. Le jugement est réformé comme il suit au chiffre IV de son dispositif : IV. V.________ Sàrll doit à U.________ la somme de 450 fr. (quatre cent cinquante francs) à titre de dépens réduits. Le jugement est maintenu pour le surplus. III. Les frais judiciaires de deuxième instance, arrêtés à 200 fr. (deux cents francs), sont mis à la charge du recourant par 100 fr. (cent francs) et de l’intimée par 100 fr. (cent francs). IV. L’intimée V.________ Sàrl doit verser au recourant U.________ la somme de 400 fr. (quatre cents francs) à titre de dépens et de restitution partielle d’avance de frais de deuxième instance. V. L’arrêt motivé est exécutoire. Le président :               Le greffier : Du</w:t>
      </w:r>
    </w:p>
    <w:p>
      <w:r>
        <w:rPr>
          <w:b/>
        </w:rPr>
        <w:t>E. 5</w:t>
      </w:r>
    </w:p>
    <w:p>
      <w:r>
        <w:t>août 2014 Le dispositif de l'arrêt qui précède est communiqué par écrit aux intéressés. Le greffier : Du L'arrêt qui précède, dont la rédaction a été approuvée à huis clos, est notifié en expédition complète, par l'envoi de photocopies, à : ‑ Me Christian Giauque (pour U.________), ‑ Me Laurent Zeiter (pour V.________ 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