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770 vom 8. September 2014</w:t>
      </w:r>
    </w:p>
    <w:p>
      <w:r>
        <w:t>VD Tribunal cantonal, 2014-09-08, FR</w:t>
      </w:r>
    </w:p>
    <w:p>
      <w:r>
        <w:rPr>
          <w:b/>
        </w:rPr>
        <w:t xml:space="preserve">Quelle: </w:t>
      </w:r>
      <w:r>
        <w:t>https://mcp.opencaselaw.ch/entscheid/vd_findinfo_HC___2014___770</w:t>
      </w:r>
    </w:p>
    <w:p>
      <w:r>
        <w:t>FR: VD_FINDINFO HC / 2014 / 770 du 8 septembre 2014</w:t>
      </w:r>
    </w:p>
    <w:p>
      <w:r>
        <w:t>IT: VD_FINDINFO HC / 2014 / 770 del 8 settembre 2014</w:t>
      </w:r>
    </w:p>
    <w:p>
      <w:pPr>
        <w:pStyle w:val="Heading2"/>
      </w:pPr>
      <w:r>
        <w:t>Regeste</w:t>
      </w:r>
    </w:p>
    <w:p>
      <w:r>
        <w:t>DÉCISION D'IRRECEVABILITÉ, OBLIGATION DE CHIFFRER LES CONCLUSIONS, DÉLAI DE RECOURS | 321 al. 2 CPC (CH), 321 CPC (CH)</w:t>
      </w:r>
    </w:p>
    <w:p>
      <w:pPr>
        <w:pStyle w:val="Heading2"/>
      </w:pPr>
      <w:r>
        <w:t>Erwägungen</w:t>
      </w:r>
    </w:p>
    <w:p>
      <w:r>
        <w:rPr>
          <w:b/>
        </w:rPr>
        <w:t>E. 1</w:t>
      </w:r>
    </w:p>
    <w:p>
      <w:r>
        <w:t>admettre l’appel</w:t>
      </w:r>
    </w:p>
    <w:p>
      <w:r>
        <w:rPr>
          <w:b/>
        </w:rPr>
        <w:t>E. 2</w:t>
      </w:r>
    </w:p>
    <w:p>
      <w:r>
        <w:t>L’art. 321 CPC dispose notamment que le recours, écrit et motivé, est introduit auprès de l'instance de recours dans les 30 jours à compter de la notification de la décision motivée ou de la notification postérieure de la motivation (al. 1). Le délai est de dix jours pour les décisions prises en procédure sommaire et les ordonnances d'instruction, à moins que la loi n'en dispose autrement (al. 2). Le délai de recours n’est pas prolongeable ; il est soumis aux règles sur la suspension, lesquelles ne s’appliquent pas en procédure sommaire (Jeandin, CPC commenté, 2011, n.</w:t>
      </w:r>
    </w:p>
    <w:p>
      <w:r>
        <w:rPr>
          <w:b/>
        </w:rPr>
        <w:t>E. 6</w:t>
      </w:r>
    </w:p>
    <w:p>
      <w:r>
        <w:t>ad art. 311 CPC par analogie).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(Jeandin, op. cit., n. 5 ad art. 321 CPC). Dès lors, les conclusions doivent être rédigées d’une manière suffisamment précise pour pouvoir être reprises telles quelles dans le dispositif de la décision à rendre.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op. cit., n. 4 ad art. 321 CPC, et n. 3 ad art. 311 CPC par analogie). Par ailleurs,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23 septembre 2014/338 c. 3 et les références citées ; Jeandin, op. cit., n. 4 ad art. 321 CPC, et n. 5 ad art. 311 CPC par analogie). En l’espèce, les recourants concluent à l’octroi d’une prolongation du délai au 22 septembre 2014 pour déposer un appel motivé. S’ils semblent contester la répartition des frais de première instance, ils ne motivent pas leur position. Le délai de recours n’étant pas prolongeable et en l’absence de conclusions motivées précisant en quoi la décision entreprise serait contraire au droit ou arbitraire, le recours est irrecevable. Il n’y a pas à impartir aux recourants un délai pour remédier à ce vice, qui est – comme cela ressort de la jurisprudence précitée – irréparable. 3. En définitive, le recours doit être déclaré irrecevable. L’arrêt peut être rendu sans frais judiciaires (art. 10 TFJC [tarif des frais judiciaires civils du 28 septembre 2010,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 A.F.________ et Mme B.F.________, ‑ M. Jacques Lauber, aab (pour P.________). La Chambre des recours civile considère que la valeur litigieuse est de 440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