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767 vom 8. September 2014</w:t>
      </w:r>
    </w:p>
    <w:p>
      <w:r>
        <w:t>VD Tribunal cantonal, 2014-09-08, FR</w:t>
      </w:r>
    </w:p>
    <w:p>
      <w:r>
        <w:rPr>
          <w:b/>
        </w:rPr>
        <w:t xml:space="preserve">Quelle: </w:t>
      </w:r>
      <w:r>
        <w:t>https://mcp.opencaselaw.ch/entscheid/vd_findinfo_HC___2014___767</w:t>
      </w:r>
    </w:p>
    <w:p>
      <w:r>
        <w:t>FR: VD_FINDINFO HC / 2014 / 767 du 8 septembre 2014</w:t>
      </w:r>
    </w:p>
    <w:p>
      <w:r>
        <w:t>IT: VD_FINDINFO HC / 2014 / 767 del 8 settembre 2014</w:t>
      </w:r>
    </w:p>
    <w:p>
      <w:pPr>
        <w:pStyle w:val="Heading2"/>
      </w:pPr>
      <w:r>
        <w:t>Regeste</w:t>
      </w:r>
    </w:p>
    <w:p>
      <w:r>
        <w:t>PROTECTION DE L'UNION CONJUGALE, OBLIGATION D'ENTRETIEN, ENFANT, CONJOINT, VÉHICULE, MAXIME OFFICIELLE, CONCLUSIONS, REFORMATIO IN PEJUS | 176 al. 1 ch. 1 CC, 176 al. 1 ch. 2 CC, 296 al. 3 CPC (CH), 314 al. 2 CPC (CH)</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mesures protectrices de l’union conjugale devant être assimilées à des mesures provisionnelles au sens de l’art. 308 al. 1 let. b CPC (Tappy, CPC commenté, 2011, nn. 51 ss ad art. 273 CPC, pp. 1077 ss, Juge délégué CACI 12 février 2013/88 c. 1 et référence). Les ordonnances de mesures protectrices de l’union conjugale étant régies par la procédure sommaire (art. 271 CPC), le délai pour l’introduction de l’appel est de dix jours (art. 314 al. 1 CPC). Interjeté en temps utile par une personne qui y a un intérêt dans un litige dont la valeur litigieuse de première instance, calculée selon l’art. 92 CPC, dépasse 10'000 fr.,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la présente procédure a trait notamment à la situation d’un enfant mineur. Les pièces produites en deuxième instance par les parties sont en conséquence recevables.</w:t>
      </w:r>
    </w:p>
    <w:p>
      <w:r>
        <w:rPr>
          <w:b/>
        </w:rPr>
        <w:t>E. 3</w:t>
      </w:r>
    </w:p>
    <w:p>
      <w:r>
        <w:t>Le recourant revendique l’attribution en sa faveur du véhicule des époux. Selon l’art. 176 al. 1 ch. 2 CC, à la requête de l’un des conjoints et si la suspension de la vie commune est fondée, le juge prend les mesures notamment en ce qui concerne le mobilier de ménage. La jurisprudence a précisé qu’un véhicule entrait dans la notion de mobilier de ménage s’il faisait partie du niveau de vie des époux. Et déterminant à cet égard dans l’attribution la réglementation qui apparaît le plus appropriée et non le fait que l’un des époux est propriétaire ou possède un meilleur droit aux objets concernés (ATF 114 II 18 c. 4, JT 1990 I 140 ; TF 5P.476/2006 du 16 janvier 2007 c. 4). En l’espèce, il y a lieu d’admettre avec l’intimée que le véhicule en cause est plus utile à une mère qui travaille et vit avec un enfant de cinq ans qu’à un père qui se rend à son travail au moyen des transports publics et devrait effectuer un trajet de Nyon à Pully deux fois par mois. L’enfant étant le plus souvent sous la responsabilité de la mère, c’est celle-ci qui doit bénéficier le plus souvent de l’allègement que procure l’usage d’un véhicule. A cet égard, il y a lieu de relever que l’appelant a la faculté d’effectuer le trajet précité en train, dès lors que les deux domiciles ne sont guère éloignés des gares, ou de louer un véhicule deux fois par mois, respectivement d’adhérer à une entreprise de partage de véhicules.</w:t>
      </w:r>
    </w:p>
    <w:p>
      <w:r>
        <w:rPr>
          <w:b/>
        </w:rPr>
        <w:t>E. 4</w:t>
      </w:r>
    </w:p>
    <w:p>
      <w:r>
        <w:t>a)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ne sont pas dans une situation matérielle favorable (sur cette notion : TF 5A_288/2008 du 27 août 2008 c. 5.4),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à moins que l'un des époux doive subvenir aux besoins d'enfants mineurs communs (ATF 126 III 8 c. 3c et les arrêts cités, JT 2000 I 29) ou que des circonstances importantes ne justifient de s’en écarter (ATF 119 II 314 c. 4b/bb). b) L’appelant fait grief au premier juge de n’avoir pas déduit des besoins de l’enfant les montant de 390 fr. à titre de rente AI pour enfant et de 300 fr. à titre d’allocation familiales. Selon la jurisprudence, les allocations familiales ne doivent en principe pas être retenues dans la capacité contributive du débiteur de la contribution ou du parent gardien, dès lors que ce sont les enfants qui en sont titulaires et qu’il doit en être tenu compte dans la fixation de l’entretien que leur doit le parent débiteur (TF 5A_402/2010 du 10 septembre 2010, Revue de la protection des mineurs et des adultes [RMA] 2010, p. 451). Elles sont cependant retranchées du coût d’entretien de l’enfant et doivent donc être déduites dans le calcul du minimum vital lors de la fixation de la contribution due par le parent non gardien pour l’entretien des siens (ATF 137 III 59 c. 4.2.3 ; TF 5A_386/2012 du 23 juillet 2012 c. 4.2.1 et références ; TF 5A_511/2010 du 4 février 2011 c. 3). Il en va de même des rentes pour enfant versées par l’assurance-vieillesse et survivant, l’assurance-invalidité ou la prévoyance professionnelle (de Luze/Page/Stoudmann, Droit de la famille, 2013, n. 2.1 ad art. 285 CC, p. 509). Les montants de 390 fr. à titre de rente pour enfant et de 300 fr. à titre d’allocations familiales doivent donc être retranchés des montants affectés à l’enfant dans le calcul du minimum vital de l’intimée. c) L’appelant conteste les frais de parking de l’intimée, par 80 fr., et ceux de garde de l’enfant, par 500 francs. S’agissant d’une mère et d’un enfant de cinq ans, à laquelle on reconnaît la faculté d’utiliser un véhicule, qui a déménagé à Pully au mois de juillet 2014, a recherché du travail et en a trouvé à compter du mois de septembre 2014, on ne saurait lui dénier la nécessité d’engager de tel frais. Le montant de 500 fr. apparaît raisonnable sans qu’il faille déterminer précisément des frais effectifs. d) L’appelant soutient que son revenu doit être déterminé sur la base de sa déclaration fiscale afférente à l’année 2012, qui faisait apparaître un montant net de 126'905 fr. correspondant à un montant mensuel de 10'575 fr. en chiffres ronds. Il expose que ni les revenus de l’année 2013 ni ceux des six premiers mois de l’année 2014 ne sont représentatifs, dès lors qu’il a effectué alors des heures supplémentaires dans une mesure importante sans que cette situation ne doive se reproduire. A lire le courriel de son employeur du 4 juillet 2014 (pièce n° 3), tel est effectivement le cas et on ne saurait présumer que ses déclarations sont de complaisance. Dès lors que, selon une lettre de l’employeur du 3 juillet 2014, le salaire annuel brut de l’appelant s’élève à 125'000 fr. depuis 2011 et que le revenu déclaré pour l’année 2012 comprend des heures supplémentaire, par 2'174 fr. 90 (pièce n° 2), il y a lieu de prendre en considération le montant de 10'575 fr. susmentionné. L’intimée se plaint à juste titre de ce que l’appelant n’a produit que tardivement les pièces susmentionnées, alors qu’il lui incombait des les fournir en première instance, même si la maxime inquisitoire illimitée était applicable. Il devra être tenu compte de ce fait dans le cadre de la fixation des dépens. e) L’appelant entend que soit prise en considération sa charge fiscale. Lorsque la contribution est calculée conformément â la méthode dite du minimum vital avec répartition de l’excédent et que les conditions financières des parties sont favorables, il faut prendre en considération la charge fiscale courante — â l’exclusion des arriérés d’impôts – (TF 5A_302/2011 du 30 septembre 2011 c. 6.3.1, La Pratique du droit de la famile [FamPra.ch] 2012 p. 160; TF 5A_732/2007 du 4 avril 2008 c. 2.1). Ce principe s’applique aussi aux mesures protectrices de l’union conjugale et aux mesures provisionnelles (TF 5A_51 1/2010 du 4 février 2011 c. 2.2.3; TF 5A_508/2011 du 21 novembre 2011 c. 4.2.5; TF 5A_219/2014 du 26 juin 2014 c. 4.2.1). Le Tribunal fédéral a considéré qu’un solde de plus de 500 fr. à répartir entre les époux justifiait que la charge fiscale courante d’impôts soit prise en considération (TF SA_511/2010 du 4 février 2011 c. 2.2.3; cf. TF 5A_302/2011 du 30 septembre 2011 c. 6.3.1, FamPra.ch 2012 p: 160: disponible du couple de 2’500 fr.). Lorsque la charge fiscale est prise en compte, elle doit l’être chez les deux époux (Juge délégué CACI 4 mai 2011/65). Cela présuppose de faire une évaluation de la charge fiscale future des parties en fonction des contributions fixées. A cet effet, on peut utiliser la calculette de l’ACI http://www.vd.ch/themes/etat-droit-finances/impots/impots-individus-personnes-physiques/calculer-mes-impôts. Le Tribunal fédéral a fait référence à de telles simulations d’impôts disponibles sur des sites de l’administration fiscale (TF 5A_475/2011 du 12 décembre 2011 c.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 4.5.2). En l’espèce, l’appelant a produit un formule de déclaration pour l’année 2013 qu’il a remplie comme si la séparation avait été effective au 31 décembre 2012, à savoir en déduisant de son revenu la pension en cause. Selon la simulation (pièce n° 23), il en résulte un charge fiscale mensuelle de quelque 800 fr. par mois (9'651 : 12). L’intimée supporte une charge fiscale correspondant à un revenu mensuel d’environ 2'200 fr., eu égard à l’indemnité de chômage perçue jusqu’à mi juillet 2014 et au salaire perçu à compter du mois de septembre 2014, auquel il y a lieu d’ajouter une rente AI de 974 fr. et la contribution en cause. Introduits dans la formule de déclaration d’impôts du logiciel Vaud-tax avec les déductions forfaitaires usuelles, ces montants déterminent un revenu imposable de 45'400 fr. pour l’ICC et de 79'900 pour l’IFD. Il en résulte, selon la simulation de la calculette susmentionnée, un charge mensuelle de 1'000 fr. en chiffres ronds (12'772 : 12). f) L’appelant entend que la pension soit due à compter du mois de juillet 2014 et non du mois de mai précédent. L’intimée a conclu à une pension par requête du 1 er mai 2014. Par convention passée à l’audience du 8 mai 2013, les parties ont prévu que l’intimée quitterait le domicile conjugal dans un délai échant au 17 mai 2014. Elle a pris à bail un appartement à Pully à compter du 15 avril 2014. Il est vrai que, selon un courriel de l’intimée du 29 juin 2014 (pièce n° 6), celle-ci renonçait à réclamer une pension pour le mois de mai 2014 et demandait, pour le mois de juin suivant, la différence entre un montant de 4'400 fr. et les « frais de la BAB ». Toutefois, il ne s’agissait que d’une proposition qui n’a pas débouché sur un accord et qui ne lie désormais plus l’intimée. g) L’intimée soutient qu’il convient de prendre en compte au titre de revenu de l’appelant un montant de 825 fr. correspondant à la différence entre le loyer perçu d’un sous-locataire, par 2'400 fr. et celui versé par l’appelant pour l’appartement de Genève, par 1'575 francs. L’appelant expose qu’un changement de sous-locataire est intervenu et qu’il ne réalise plus désormais qu’un gain de 200 francs. L’appelant pourrait cependant remettre l’appartement de Nyon, pour lequel il verse un loyer de 2'650 fr., et reprendre l’appartement de Genève, en réalisant ainsi une économie de 1'075 fr. (2'650 fr. – 1'575 fr.). Cela vaut même si, comme il l’a déclaré en audience, l’appartement genevois ne comprend qu’une grande pièce et qu’il devrait être aménagé pour accueillir son fils en fin de semaine. Il pourrait également prendre à bail un appartement moins onéreux, pour un loyer de l’ordre de 1'800 fr., dont il déduirait le gain de 200 fr. précité. Il y a dès lors lieu de prendre en considération une charge de loyer de 1'600 fr. pour l’appelant. h) L’intimée conteste la prise en compte du montant de 820 fr. correspondant au remboursement du crédit octroyé à l’appelant pour l’achat d’un appartement en France occupé par les parents de celui-ci. Selon la jurisprudence, pour autant que la situation financière des parties le permette, il peut être tenu compte d’une dette dans le calcul du minimum vital uniquement lorsqu’elle a été assumée avant la fin du ménage commun aux fins de l’entretien des deux époux, mais non lorsqu’elle a été assumée au profit d’un seul d’entre eux, à moins que les deux époux n’en répondent solidairement (ATF 127 III 289 c. 2a, cité par de Luze/Page/Stoudmann, op. cit., n. 1.72 ad art. 176 CC, p. 271). En l’espèce, l’appelant ne démontre pas que la dette en cause aurait été contractée aux fins de l’entretien des parties. En outre, dans la mesure où les parents de l’appelant occupent cet appartement, les frais liés à celui-ci leur incombent et l’appelant ne démontre pas qu’il serait débiteur à leur égard d’une contribution d’entretien. Le remboursement de ce crédit n’a dès lors pas à être pris en considération. i) L’intimée soutient qu’il n’y a pas lieu de prendre en compte le montant de 150 fr. pour le droit de visite dans le calcul du minimum vital de l’appelant. Les frais liés à l’exercice du droit de visite peuvent être pris en compte dans le calcul du minimum vital du parent visiteur (TF 7B 145/2005 du 11 octobre 2005, FamPra.ch 2006, p. 198 ; Vetterli, FamKomm Scheidung, Band I, 2 e éd., 2011, n. 33 ad art. 176 CC, p. 431; Juge délégué CACI 2 décembre 2011/387 c. 4b). Selon la jurisprudence non publiée du Tribunal fédéral, cette prise en considération ne s’impose pas (TF 5A_42/2013 du 27 juin 2013 c. 2.2.4 ; TF 5A_63/2012 du 20 juin 2012 c. 4.2.1). En l’espèce, compte tenu du trajet important imposé à l’appelant pour l’exercice du droit de visite, il y a lieu de prendre en compte le montant de 150 fr. litigieux. j) En définitive, les dépenses essentielles de l’appelant doivent être fixées à 4'511 fr. (1'200 fr. de montant de base, 150 fr. de montant de base pour le droit de visite, 1'600 fr. de loyer, 193 fr. de primes d’assurance-maladie, 24 fr. pour Swisscaution, 266 fr. de repas pris hors du domicile, 274 fr. de frais de transport et 804 fr. d’impôt). Compte tenu d’un salaire de 10'575 fr., le disponible de l’appelant s’élève à 6'064 francs. Les dépenses essentielles de l’intimée doivent être fixées à 4'965 fr. (1'350 fr. de montant de base, 210 fr. [400 fr. de montant de base + 500 fr. de frais de garde + 57 de frais de conservatoire – 390 fr. de rente pour enfant – 300 fr. d’allocations familiales] de frais liés à l’enfant C.X.________, 1'835 fr. de loyer pour l’appartement et le parking, 470 fr. de primes d’assurance-maladie pour l’intimée et l’enfant, 100 fr. de frais de transport et 1'000 fr. d’impôts). Compte tenu de revenus de 3'325 fr. (2'351 fr. de salaire + 974 de rente AI), le budget de l’intimée présente un déficit de 1'640 francs. Les revenus globaux des parties s’élevant à 13'900 fr. et leurs dépenses essentielles à 9'476 francs, le couple bénéficie d’un disponible de 4'424 francs, qu’il convient de répartir, comme l’a fait le premier juge, à raison de deux tiers en faveur de l’intimée, compte tenu du fait qu’elle a la garde de l’enfant, et d’un tiers en faveur de l’appelant. L’appelant doit ainsi couvrir le déficit de l’intimée, par 1'640 fr. et lui verser sa part du disponible, par 2'949 fr. 30 (4'424 x 2 : 3), de sorte que la contribution litigieuse atteint 4'589 fr. 30, montant supérieur à celui alloué par le premier juge. L’appel doit en conséquence être rejeté.</w:t>
      </w:r>
    </w:p>
    <w:p>
      <w:r>
        <w:rPr>
          <w:b/>
        </w:rPr>
        <w:t>E. 5</w:t>
      </w:r>
    </w:p>
    <w:p>
      <w:r>
        <w:t>L’intimée a pris dans sa réponse à l’appel des conclusions tendant à l’augmentation de la contribution litigieuse. Selon l’art. 296 al. 3 CPC, qui fait partie du Titre 7 « Procédure applicable aux enfants dans les affaires de droit de la famille », le tribunal n’est pas lié par les conclusions des parties. Quant à l’interdiction de la réformatio in pejus, elle n’entre pas en considération là où s’applique la maxime d’office (ATF 129 III 417 c. 2.1.1 ; TF 5A_766/2010 du 30 mai 2011 c. 4.1.1). Il n’empêche qu’à tout le moins s’agissant de conclusions pécuniaires, on ne conçoit pas que l’intimée, privée de la faculté de former un appel joint (art. 314 al. 2 CPC), puisse néanmoins prendre en réponse des conclusions tendant à remettre en cause la décision du premier juge. Dès lors que l’intérêt de l’enfant ne commande pas une modification de la pension dans le sens voulu par l’intimée, cela même celle-ci n’a pas obtenu un plein revenu durant les mois de juillet et d’août 2014, que la fixation de cette pension relève pour une bonne part de l’appréciation et que l’intimée n’a pas formé appel, il n’y a pas lieu de faire droit aux conclusions de celle-ci.</w:t>
      </w:r>
    </w:p>
    <w:p>
      <w:r>
        <w:rPr>
          <w:b/>
        </w:rPr>
        <w:t>E. 6</w:t>
      </w:r>
    </w:p>
    <w:p>
      <w:r>
        <w:t>Les parties ont signé à l’audience d’appel du 5 septembre 2011 un convention partielle, ratifiée sur le siège par le juge de céans pour valoir arrêt sur appel de mesures protectrices de l’union conjugale prévoyant notamment une modification des heures auxquelles le droit de visite de l’appelant les week-end débuterait et prendrait fin, ces heures étant fixées à 19 h 00 le vendredi et à 19 h 30 le dimanche. Il y a dès lors lieu de modifier le chiffre IV du prononcé attaqué dans cette mesure.</w:t>
      </w:r>
    </w:p>
    <w:p>
      <w:r>
        <w:rPr>
          <w:b/>
        </w:rPr>
        <w:t>E. 7</w:t>
      </w:r>
    </w:p>
    <w:p>
      <w:r>
        <w:t>En conclusion, l’appel doit être rejeté et le prononcé confirmé, excepté en ce qui concerne le chiffre IV de son dispositif, modifié en ce sens que l’appelant pourra avoir son enfant auprès de lui un week-end sur deux du vendredi à 19 h 00 au dimanche à 19 h 30. Vu le rejet de l’appel, les frais judiciaires de deuxième instance, arrêtés à 1'200 fr. (art. 65 al. 4 TFJC [tarif du 28 septembre 2010 des frais judiciaires civils ; RSV 270.11.5), doivent être mis à la charge de l’appelant, qui versera en outre à l’intimée des dépens de deuxième instance, fixés à 2'500 fr. (art. 106 al. 1 CPC).</w:t>
      </w:r>
    </w:p>
    <w:p>
      <w:r>
        <w:rPr>
          <w:b/>
        </w:rPr>
        <w:t>E. 8</w:t>
      </w:r>
    </w:p>
    <w:p>
      <w:r>
        <w:t>Le conseil d’office de l’intimée a déposé une liste de ses opérations dont il ressort qu’il a consacré 9 heures au dossier et supporté des débours par 15 fr. 10. Cette durée, à laquelle il convient d’ajouter 1 heure d’audience, et ces débours apparaissent adéquat. Au tarif horaire de 180 fr. (art. 2 al. 1 let. a RAJ [règlement du 7 décembre 2010 sur l’assistance judiciaire en matière civile ; RSV 211.02.3]), l’indemnité s’élève à 1'800 fr., montant auquel il convient d’ajouter les frais de vacation, par 120 fr., la TVA à 8 % sur ces montants, par 153 fr. 60, les débours par 15 fr. 10, ainsi que la TVA à 8 % sur ceux-ci, par 1 fr. 85. L’indemnité globale s’élève en conséquence à 2'090 fr. 55. Par ces motifs, le juge délégué de la Cour d’appel civile du Tribunal cantonal, statuant à huis clos, prononce : I. L’appel est rejeté. II. Le prononcé est confirmé, excepté en ce qui concerne le chiffre IV de son dispositif, dont la teneur est désormais la suivante, compte tenu de la convention des parties, ratifiée pour valoir arrêt sur appel de mesures protectrices de l’union conjugale : IV. Dit qu’à défaut d’entente, A.X.________ pourra avoir son enfant auprès de lui un week-end sur deux du vendredi à 19 h 00 au dimanche à 19 h 30, ainsi que durant la moitié des vacances scolaires et des jours fériés en alternance ; III. Les frais judiciaires de deuxième instance, arrêtés à 1'200 fr. (mille deux cents francs) sont mis à la charge de l’appelant A.X.________. IV. L’indemnité d’office de Me Nicolas Mattenberger, conseil de l’intimée, est arrêtée à 2'090 fr. 55 (deux mille nonante francs et cinquante-cinq centimes), TVA et débours compris. V. La bénéficiaire de l’assistance judiciaire est, dans la mesure de l’art. 123 CPC, tenue au remboursement des frais judiciaires et de l’indemnité au conseil d’office mis à la charge de l’Etat. VI. L’appelant A.X.________ doit verser à l’intimée B.X.________ la somme de 2'500 fr. (deux mille cinq cents francs) à titre de dépens de deuxième instance. VII. L’arrêt est exécutoire. Le juge délégué : Le greffier : Du L'arrêt qui précède, dont la rédaction a été approuvée à huis clos, est notifié à : ‑ Me Patricia Michellod (pour A.X.________), ‑ Me Nicolas Mattenberger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