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765 vom 6. Oktober 2014</w:t>
      </w:r>
    </w:p>
    <w:p>
      <w:r>
        <w:t>VD Tribunal cantonal, 2014-10-06, FR</w:t>
      </w:r>
    </w:p>
    <w:p>
      <w:r>
        <w:rPr>
          <w:b/>
        </w:rPr>
        <w:t xml:space="preserve">Quelle: </w:t>
      </w:r>
      <w:r>
        <w:t>https://mcp.opencaselaw.ch/entscheid/vd_findinfo_HC___2014___765</w:t>
      </w:r>
    </w:p>
    <w:p>
      <w:r>
        <w:t>FR: VD_FINDINFO HC / 2014 / 765 du 6 octobre 2014</w:t>
      </w:r>
    </w:p>
    <w:p>
      <w:r>
        <w:t>IT: VD_FINDINFO HC / 2014 / 765 del 6 ottobre 2014</w:t>
      </w:r>
    </w:p>
    <w:p>
      <w:pPr>
        <w:pStyle w:val="Heading2"/>
      </w:pPr>
      <w:r>
        <w:t>Regeste</w:t>
      </w:r>
    </w:p>
    <w:p>
      <w:r>
        <w:t>MESURE DE CONTRAINTE{DROIT DES ÉTRANGERS}, DÉTENTION AUX FINS D'EXPULSION | 76 al. 1 let. b ch. 1 LEtr, 76 al. 1 let. b ch. 3 LEtr, 80 al. 4 LEtr</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La lettre produite par le recourant et adressée le 24 septembre 2014 au Président du Tribunal d’arrondissement de la Broye et du Nord vaudois est ainsi recevable.</w:t>
      </w:r>
    </w:p>
    <w:p>
      <w:r>
        <w:rPr>
          <w:b/>
        </w:rPr>
        <w:t>E. 3</w:t>
      </w:r>
    </w:p>
    <w:p>
      <w:r>
        <w:t>Le Juge de paix du district de Lausanne est l’autorité compétente en vertu des art. 17 et 20 LVLEtr. Saisi d’une requête motivée et documentée du SPOP du 14 août 2014, il a procédé à l’audition du recourant le même jour et a résumé ses déclarations dans ce qu’elles avaient d’utile (art. 21 al. 1 et 2 LVLEtr). La procédure suivie a été régulière, ce dont le recourant ne disconvient pas. A l’issue de l’audition, le premier juge a immédiatement rendu un ordre de détention et sa décision motivée a été notifiée le lendemain au recourant, soit dans le délai légal de nonante-six heures (art. 16 al. 1 LVLEtr).</w:t>
      </w:r>
    </w:p>
    <w:p>
      <w:r>
        <w:rPr>
          <w:b/>
        </w:rPr>
        <w:t>E. 4</w:t>
      </w:r>
    </w:p>
    <w:p>
      <w:r>
        <w:t>a) Le recourant invoque d’abord une violation du pouvoir d’appréciation du premier juge dans l’application de l’art. 75 LEtr. Il fait valoir qu’il ne représente pas une menace grave pour autrui et que la seule infraction grave commise lui a valu une condamnation il y a plus de douze ans. Le renvoi serait ainsi disproportionné. b) A teneur de l’art. 76 al. 1 let. b ch. 1 LEtr, l’autorité compétente peut, afin d’assurer l’exécution d’une décision de renvoi ou d’expulsion, mettre la personne concernée en détention pour les motifs cités par l’art. 75 al. 1 let, b, c, g ou h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S’agissant en particulier du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2C_45512009 du 5 août 2009 c. 2.1 et la réf. à TF 2A.480/2003 du 26 août 2004). La jurisprudence a précisé que les conditions de l’art. 75 al. 1 let. g LEtr étaient réalisées, pour ce qui est des infractions à la LStup,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LStup (TF 2A.9/2006 du 12 janvier 2006 c. 2.1 ATF 125 Il 369 c. 3b/bb). Cette disposition et cette jurisprudence ont été jugées conforme à l’art. 5 al. 1 let. f CEDH (Convention du 4 novembre 1950 de sauvegarde des droits de l’homme et des libertés fondamentales ; RS 0.101) par le Tribunal fédéral (TF 2A.480/2003 du 26 août 2004 c. 3.3 et les réf. citées). c) On peut observer en premier lieu que si le recourant conteste les conditions d’application de l’art. 75 LEtr, il ne remet pas en cause le constat fait en outre par le premier juge que le requérant a tenté de se soustraire à son refoulement et que, tant par ses déclarations que par son comportement, il démontre qu’il n’a aucune intention de collaborer à son départ, de sorte que l’art. 76 al. 1 let. b. ch. 3 LEtr justifie déjà la mise en détention du recourant. De toute manière, le casier judiciaire de ce dernier montre de multiples condamnations à la LStup qui justifient également l’application de l’art. 75 al. 1 let: g LEtr, sans qu’il ne soit nécessaire d’examiner la portée, en droit des étrangers, des nombreuses enquêtes pénales encore en cours, pour des crimes également, et qui lui ont valu d’être placé en détention préventive du 24 juillet 2013 au 5 juin 2014 . Il est, quoi qu’il en soit, établi que le recourant a fait et fait encore actuellement l’objet de nombreuses poursuites pénales, de sorte qu’il ne peut aucunement invoquer l’ancienneté d’une condamnation particulière pour relativiser le danger qu’il représente pour d’autres personnes. Comme l’a retenu le premier juge, la détention du recourant est fondée tant sur l’art. 75 al. 1 let. g LEtr que sur l’art. 76 al. 1 let. b. ch. 3 LEtr.</w:t>
      </w:r>
    </w:p>
    <w:p>
      <w:r>
        <w:rPr>
          <w:b/>
        </w:rPr>
        <w:t>E. 5</w:t>
      </w:r>
    </w:p>
    <w:p>
      <w:r>
        <w:t>a) Le recourant fait encore valoir que sa situation familiale empêche son renvoi, car il aurait toutes ses attaches dans notre pays, en particulier avec sa fille de quatre ans, dont il a reconnu la paternité par lettre adressée le 24 septembre 2014 au Président du Tribunal d’arrondissement de la Broye et du Nord vaudois. b) La détention dans son ensemble doit rester proportionnée (TF 2C_304/2012 du 1er mai 2012 c. 1). L’art. 80 al. 4 LEtr prescrit au juge de la détention de prendre notamment en considération la situation familiale de la personne détenue. Cette prescription correspond à l’exigence de l’art. 5 de la directive 2008/11 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Il 56 c. 2; 128 Il 193 c. 2.2.2 ; TF 2C_304/2012 du 1er mai 2012 c. 2.1; TF 2C_505/2012 du 19 juin 2012). A cet égard, le Tribunal fédéral a précisé qu’un mariage ou la naissance prochaine d’un enfant ne suffisait pas à justifier la libération de la personne détenue administrativement, dans la mesure où le mariage ou la naissance de cet enfant ne donnait pas à celle-ci un droit certain de séjourner en Suisse (TF 2C_33/201 1 du 14 janvier 2011 c. 4.1 et référence). Dans une autre cause (TF 2C_505/2012 du 19juin 2012, c. 4.2), la Haute cour a estimé que les éléments familiaux invoqués par le recourant étaient des éléments qui relevaient du bien-fondé de la décision de renvoi et que compte tenu des nombreuses condamnations pénales du recourant, en particulier de la peine privative de liberté de deux ans prononcée notamment pour infraction grave à la LStup, la décision de renvoi n’apparaissait pas manifestement infondée, même en tenant compte de la naissance ultérieure des deux enfants du recourant et de son projet de mariage. c) C’est donc en vain que le recourant se fonde sur sa toute récente reconnaissance de paternité pour demander sa mise en liberté. Compte tenu des condamnations pénales prononcées et des décisions de renvoi définitives, cette paternité ne donne pas un droit certain du recourant à séjourner en Suisse, de sorte que la question des attaches familiales relève du bien-fondé de la décision de renvoi qui est distincte de la procédure de détention. C’est en vain également que le recourant invoque une violation du droit d’être entendu parce que l’autorité administrative n’aurait pas examiné sa situation familiale dans le cadre de l’exécution du renvoi. Le SPOP s’est en effet expressément déterminé sur cette question dans sa réponse du 17 septembre 2014 et, de toute manière, la Cour de céans, selon le large pouvoir de cognition dont elle bénéficie, l’a examinée.</w:t>
      </w:r>
    </w:p>
    <w:p>
      <w:r>
        <w:rPr>
          <w:b/>
        </w:rPr>
        <w:t>E. 6</w:t>
      </w:r>
    </w:p>
    <w:p>
      <w:r>
        <w:t>octobre 2014 Le dispositif de l'arrêt qui précède est communiqué par écrit aux intéressés. La greffière : Du L'arrêt qui précède, dont la rédaction a été approuvée à huis clos, est notifié en expédition complète, par l'envoi de photocopies, à : ‑ Me Véronique Fontana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