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763 vom 15. September 2014</w:t>
      </w:r>
    </w:p>
    <w:p>
      <w:r>
        <w:t>VD Tribunal cantonal, 2014-09-15, FR</w:t>
      </w:r>
    </w:p>
    <w:p>
      <w:r>
        <w:rPr>
          <w:b/>
        </w:rPr>
        <w:t xml:space="preserve">Quelle: </w:t>
      </w:r>
      <w:r>
        <w:t>https://mcp.opencaselaw.ch/entscheid/vd_findinfo_HC___2014___763</w:t>
      </w:r>
    </w:p>
    <w:p>
      <w:r>
        <w:t>FR: VD_FINDINFO HC / 2014 / 763 du 15 septembre 2014</w:t>
      </w:r>
    </w:p>
    <w:p>
      <w:r>
        <w:t>IT: VD_FINDINFO HC / 2014 / 763 del 15 settembre 2014</w:t>
      </w:r>
    </w:p>
    <w:p>
      <w:pPr>
        <w:pStyle w:val="Heading2"/>
      </w:pPr>
      <w:r>
        <w:t>Regeste</w:t>
      </w:r>
    </w:p>
    <w:p>
      <w:r>
        <w:t>DIVORCE, MESURE PROVISIONNELLE, MODIFICATION DES CIRCONSTANCES, TRAIN DE VIE | 176 al. 1 ch. 1 CC, 179 CC, 308 CPC (CH)</w:t>
      </w:r>
    </w:p>
    <w:p>
      <w:pPr>
        <w:pStyle w:val="Heading2"/>
      </w:pPr>
      <w:r>
        <w:t>Erwägungen</w:t>
      </w:r>
    </w:p>
    <w:p>
      <w:r>
        <w:rPr>
          <w:b/>
        </w:rPr>
        <w:t>E. 1.1</w:t>
      </w:r>
    </w:p>
    <w:p>
      <w:r>
        <w:t>L’appel est recevable contre les ordonnances de mesures provisionnelles (art. 308 al. 1 let. b CPC [Code de procédure civile du 19 décembre 2008]),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ordonnances de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et les réf. citées). Ces exigences s’appliquent aux litiges régis par la maxime inquisitoire (TF 4A_228/2012 du 28 août 2012 c. 2.2, publié in ATF 138 III 625). Une solution plus souple peut toutefois être envisagée lorsque la cause est régie par la maxime d’office, par exemple lorsque le litige porte sur la situation d'enfants mineurs en droit matrimonial (Tappy, op. cit., JT 2010 III 115, sp. pp. 136-137; Jeandin, op. cit., n. 5 ad art. 296 CPC et les réf. citées), à tout le moins lorsque le juge de première instance a violé la maxime inquisitoire illimitée (JT 2011 III 43 et références citées).</w:t>
      </w:r>
    </w:p>
    <w:p>
      <w:r>
        <w:rPr>
          <w:b/>
        </w:rPr>
        <w:t>E. 2.3</w:t>
      </w:r>
    </w:p>
    <w:p>
      <w:r>
        <w:t>En l'espèce, dès lors que le couple a deux enfants mineurs, le litige est régi par la maxime inquisitoire illimitée de l'art. 296 CPC (Hohl, Procédure civile, tome II, 2 e éd., Berne 2010, nn. 1166 ss et 2414 ss). Les pièces produites par les parties ont ainsi été prises en compte dans la mesure de leur utilité pour l’examen de la cause.</w:t>
      </w:r>
    </w:p>
    <w:p>
      <w:r>
        <w:rPr>
          <w:b/>
        </w:rPr>
        <w:t>E. 3</w:t>
      </w:r>
    </w:p>
    <w:p>
      <w:r>
        <w:t>L’appelant soutient à titre liminaire que les principes régissant les mesures provisionnelles auraient été transgressés, dès lors que la requête de mesures provisionnelles a été déposée le 3 décembre 2013 et que l’ordonnance entreprise n’a été rendue que le 4 juillet 2014. Lors de l'audience qui s'est tenue le 24 février 2014, les parties ont été invitées à produire un certain nombre de pièces afin de compléter le dossier dans un délai au 10 mars 2014, puis à se déterminer sur les pièces produites dans un délai non prolongeable au 20 mars 2014. De nouvelles pièces ont alors été requises et, après un long échange de courriers entre conseils, le président du tribunal a, par lettre du 27 mai 2014, refusé de donner suite aux réquisitions de production de pièces complémentaires en rappelant que les mesures provisionnelles étaient régies par la procédure sommaire, qui se voulait simple et rapide. Des échanges ont également eut lieu en rapport avec de nouvelles modalités de garde mises en place par les parties, soit une garde alternée. Au vu de ce qui précède, le délai mis par le premier juge pour statuer sur la requête formulée par l'appelant ne lui est pas imputable à faute et n'est en aucun cas constitutif d'un déni de justice. Au demeurant, il convient de relever que l'appelant, qui invoque l'urgence à statuer sur les mesures requises, a attendu le 23 juin 2014 pour requérir une modification de sa contribution d'entretien à titre superprovisionnel. Le grief, mal fondé, doit donc être rejeté.</w:t>
      </w:r>
    </w:p>
    <w:p>
      <w:r>
        <w:rPr>
          <w:b/>
        </w:rPr>
        <w:t>E. 4</w:t>
      </w:r>
    </w:p>
    <w:p>
      <w:r>
        <w:t>L'appelant reproche au premier juge de ne pas avoir tenu compte de sa baisse de revenus consécutive à son accident du 27 octobre 2013 et d'avoir estimé ses revenus sur la base des années 2012 à 2014. Il fait également valoir que la diminution de ses revenus et l'augmentation de ceux de l'intimée aurait dû conduire le premier juge a admettre une modification de la contribution d'entretien.</w:t>
      </w:r>
    </w:p>
    <w:p>
      <w:r>
        <w:rPr>
          <w:b/>
        </w:rPr>
        <w:t>E. 4.1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RS 210 ) (ATF 137 III 614 c. 3.2.2; TF 5A_562/2013 du 24 octobre 2013 c. 3.1; TF 5A_535/2013 du 22 octobre 2013 c. 3.1; TF 5A_15/2014 du 28 juillet 2013 c. 3).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(TF 5A_245/2013 du 24 septembre 2013 c. 3.1; TF 5A_15/2014 du 28 juillet 2013 c. 3 ; 5A_101/2013 du 25 juillet 2013 c.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(TF 5A_15/2014 du 28 juillet 2013 c. 3 ; TF 5A_153/2013 du 24 juillet 2013 c. 2.1; TF 5A_147/2012 du 26 avril 2012 c. 4.2.1), car la procédure de modification n'a pas pour but de corriger le premier jugement, mais de l'adapter aux circonstances nouvelles (ATF 131 III 189 c. 2.7 ; TF 5A_15/2014 du 28 juillet 2013 c. 3). Le fait revêt un caractère nouveau lorsqu'il n'a pas été pris en considération pour fixer la contribution d'entretien dans le jugement précédent (ATF 137 III 604 c. 4.1.1; ATF 131 III 189 c. 2.7.4; TF 5A_15/2014 du 28 juillet 2013 c. 3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5A_15/2014 du 28 juillet 2013 c. 3 ; TF 5A_845/2010 du 12 avril 2011 consid. 4.1). Le moment déterminant pour apprécier si un fait nouveau s'est produit est la date du dépôt de la demande de modification (ATF 137 III 604 c. 4.1.1; 120 II 285 c. 4b ; TF 5A_15/2014 du 28 juillet 2013 précité c. 3).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137 III 604 c. 4.1.2; TF 5A_562/2013 du 24 octobre 2013 c. 3.1; TF 5A_15/2014 du 28 juillet 2013 c. 3 ; TF 5A_140/2013 du 28 mai 2013 c. 4.1). Dans le cadre de mesures provisionnelles, qui par définition règlent provisoirement la situation pendant la durée de la procédure de divorce et peuvent être adaptées aux circonstances,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 3.2; TF 5A_217/2009 du 30 octobre 2009 c. 3.2; TF 5P_445/2004 du 9 mars 2005 c. 2.3).</w:t>
      </w:r>
    </w:p>
    <w:p>
      <w:r>
        <w:rPr>
          <w:b/>
        </w:rPr>
        <w:t>E. 4.2</w:t>
      </w:r>
    </w:p>
    <w:p>
      <w:r>
        <w:t>En l’espèce, il est constant que depuis l'accident survenu le 27 octobre 2013, l'appelant se trouve toujours en arrêt de travail et qu’il a déposé une demande de rente AI. La baisse de ses revenus, qui est incontestablement significative, ne peut donc être considérée comme une modification de courte durée. Il s'agit au contraire d'un changement suffisamment durable pour qu’il y ait lieu d’en tenir compte pour admettre la modification des mesures provisionnelles, lesquelles pourront le cas échéant être à nouveau modifiées si les revenus de l’appelant subissent une nouvelle modification. Dès lors qu’il s’agit précisément d’adapter les mesures provisionnelles au changement non temporaire intervenu, il ne saurait être question de fixer le revenu du recourant sur la base du revenu moyen réalisé par l’appelant durant les trois dernières années, alors qu’il est en arrêt de travail depuis le 27 octobre 2013. L'appelant perçoit depuis son accident un revenu mensuel net moyen de 18'758 fr. correspondant au salaire minimum garanti par l’ [...], montant auquel il convient d'ajouter les prestations de son assurance perte de gain compensant les honoraires du cabinet. Du montant mensuel de 10'037 fr. versé à ce titre doit toutefois être déduite une participation aux frais généraux du cabinet. L'appelant invoque des frais généraux à hauteur de 60%. Un tel pourcentage apparaît toutefois trop élevé et il convient de limiter cette participation à 50 % des indemnités perçues, soit 5'000 francs. Il convient ainsi de retenir en faveur de l'appelant un revenu mensuel net de l'ordre de 23'800 fr. par mois.</w:t>
      </w:r>
    </w:p>
    <w:p>
      <w:r>
        <w:rPr>
          <w:b/>
        </w:rPr>
        <w:t>E. 4.3</w:t>
      </w:r>
    </w:p>
    <w:p>
      <w:r>
        <w:t>Pour le surplus, le premier juge a pris en compte le fait que l’intimée perçoit depuis le 1 er janvier 2014 un revenu mensuel net de 3'358 fr., au lieu des 2'000 fr. retenus dans les précédentes décisions. Il s'est d'ailleurs fondé sur cet élément nouveau pour admettre qu'il convenait de procéder à un nouveau calcul de la contribution d'entretien.</w:t>
      </w:r>
    </w:p>
    <w:p>
      <w:r>
        <w:rPr>
          <w:b/>
        </w:rPr>
        <w:t>E. 5</w:t>
      </w:r>
    </w:p>
    <w:p>
      <w:r>
        <w:t>L’appelant reproche au premier juge d'avoir retenu pour l'intimée un train de vie de 17'000 fr., soit 10'000 fr. de charges et "7'000 fr. de variable dont on ignore à ce jour de quoi il est composé", alors qu'il a retenu en ce qui le concerne un train de vie de 12'338 fr. 55, montant qui correspondrait en réalité uniquement à ses charges.</w:t>
      </w:r>
    </w:p>
    <w:p>
      <w:r>
        <w:rPr>
          <w:b/>
        </w:rPr>
        <w:t>E. 5.1</w:t>
      </w:r>
    </w:p>
    <w:p>
      <w:r>
        <w:t>D'après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Le montant de la contribution d'entretien se détermine en fonction des facultés économiques et des besoins respectifs des époux. Si leur situation financière le permet encore, le standard de vie antérieur, choisi d'un commun accord, doit être maintenu pour les deux parties. Quand il n'est pas possible de conserver ce niveau de vie, les conjoints ont droit à un train de vie semblable. Le train de vie mené jusqu'à la cessation de la vie commune constitue la limite supérieure du droit à l'entretien (ATF 121 I 97 c. 3b; ATF 118 II 376 c. 20b et la jurisprudence citée; TF 5A_36/2014 du 9 juillet 2014 c. 4.1 ; TF 5A_287/2012 du 14 août 2012 c. 3.2.2; TF 5A_41/2012 du 7 juin 2012 c. 4.1.1; TF 5A_501/2011 du 2 mai 2012 c. 3.1). La fixation de la contribution d’entretien ne doit pas anticiper sur la liquidation du régime matrimonial. C'est au créancier de la contribution d'entretien qu'il incombe de préciser les dépenses nécessaires à son train de vie et de les rendre vraisemblables (TF 5A_41/2011 du 10 août 2011 c. 4.1; TF 5A_27/2009 du 2 octobre 2009 c. 4; TF 5A_ 288/2008 du 27 août 2008 c. 5.4; TF 5A_732/2007 du 4 avril 2008 c. 2).</w:t>
      </w:r>
    </w:p>
    <w:p>
      <w:r>
        <w:rPr>
          <w:b/>
        </w:rPr>
        <w:t>E. 5.2.1</w:t>
      </w:r>
    </w:p>
    <w:p>
      <w:r>
        <w:t>Le train de vie de l’intimée et de ses deux enfants a été arrêté à un montant de 17'000 fr. par arrêt de la juge déléguée de la Cour d'appel civile du 18 juillet 2013. Ce montant comprenait un montant de 6'164 fr. à titre de frais fixes, de 6'656 fr. à titre de dépenses variables, d'un montant de 4'000 fr. pour les impôts et de 180 fr. pour les frais d'électricité. Du montant précité de 17'000 fr., la juge déléguée a déduit la moitié des frais de la villa conjugale, par 2'300 francs. Elle a en effet admis, avec le premier juge (cf. prononcé du 11 janvier 2013), que le train de vie antérieur ne pouvait être maintenu en raison de la surcharge de dépenses due à l’existence de deux ménages et à la location par chacun des époux d’un logement, alors que la villa conjugale restait inoccupée. Elle a donc estimé, l'intimée étant copropriétaire pour moitié de la villa conjugale, qu'elle devait en financer les frais à hauteur de sa part en diminuant son budget d'un montant arrondi de 2'300 francs. La pension due dès le 1 er janvier 2013 avait ainsi été fixée à 12'700 fr. en déduisant du train de vie de 17'000 fr. les frais de la maison familiale, par 2'300 fr., et les revenus de l'épouse, par 2'000 francs.</w:t>
      </w:r>
    </w:p>
    <w:p>
      <w:r>
        <w:rPr>
          <w:b/>
        </w:rPr>
        <w:t>E. 5.2.2</w:t>
      </w:r>
    </w:p>
    <w:p>
      <w:r>
        <w:t>En l'espèce, la maison conjugale a été vendue par contrat signé le 18 décembre 2013, de sorte que, comme l’a relevé le premier juge, la charge de 2'300 fr. pour l'intimée n’existe plus. Les impôts de l'intimée ne s'élèvent en outre pas à 4'000 fr., mais à 3'618 francs. Le premier juge a encore constaté que les parties exercent désormais une garde alternée, de sorte que le train de vie de l'intimée doit être réduit de la moitié du minimum vital des enfants, par 600 francs. Le train de vie de l'intimée peut donc être arrêté à 16'018 fr. par mois (17'000 fr. – 382 fr. – 600 fr.).</w:t>
      </w:r>
    </w:p>
    <w:p>
      <w:r>
        <w:rPr>
          <w:b/>
        </w:rPr>
        <w:t>E. 5.2.3</w:t>
      </w:r>
    </w:p>
    <w:p>
      <w:r>
        <w:t>L'appelant conteste les montants figurant dans le budget de l'intimée au titre des frais de cheval pour leur fille B.J.________, en faisant valoir que le cheval en pleine propriété a été remplacé par un cheval en demi-pension. Il soutient en outre que l'intimée a pu faire des économies eu égard à un versement de 30'000 fr. sur son compte épargne. Il ressort toutefois des déterminations de l'appelant du 20 février 2014 (cf. allégués 414 et suivants) que l'intimée a acheté un nouveau cheval à leur fille, de sorte que ce grief tombe à faux. S'agissant du versement de 30'000 fr., il ne permet pas en soi d'admettre que l'intimée aurait fait des économies sur les contributions d'entretien versées par l'appelant. Au demeurant, les explications fournies par l'intimée dans sa réponse du 1 er septembre 2014, selon lesquelles elle a fait virer un montant de 30'000 fr. du prix de vente de la maison sur le compte épargne en question, sont tout à fait plausibles.</w:t>
      </w:r>
    </w:p>
    <w:p>
      <w:r>
        <w:rPr>
          <w:b/>
        </w:rPr>
        <w:t>E. 5.2.4</w:t>
      </w:r>
    </w:p>
    <w:p>
      <w:r>
        <w:t>Il résulte de ce qui précède qu'il n'y a pas lieu de s'écarter du montant retenu par le premier juge à titre de "train de vie" de l'intimée et de ses enfants, soit 16'018 fr. par mois.</w:t>
      </w:r>
    </w:p>
    <w:p>
      <w:r>
        <w:rPr>
          <w:b/>
        </w:rPr>
        <w:t>E. 5.3</w:t>
      </w:r>
    </w:p>
    <w:p>
      <w:r>
        <w:t>L'appelant prétend que le montant de 12'338 fr. 55 retenu par le premier juge pour ce qui le concerne correspondrait en réalité uniquement à ses charges et non à son train de vie. Il n'a toutefois pas apporté la preuve d’un train de vie plus élevé. Les postes figurant dans le budget correspondant englobent au demeurant des dépenses qui font manifestement partie du "train de vie" et non des dépenses strictement nécessaires. Il convient en revanche d’ajouter au montant précité la somme de 600 fr. correspondant à la moitié du minimum de base des enfants, dès lors que ceux-ci vivent désormais une semaine sur deux chez leur père.</w:t>
      </w:r>
    </w:p>
    <w:p>
      <w:r>
        <w:rPr>
          <w:b/>
        </w:rPr>
        <w:t>E. 5.4</w:t>
      </w:r>
    </w:p>
    <w:p>
      <w:r>
        <w:t>L'appelant réalise depuis le 1 er novembre 2013 un revenu de l’ordre de 23'800 fr. par mois, au lieu des 30'218 fr. retenus dans l’arrêt du 18 juillet 2013 (cf. c. 4.3 supra). Quant à l’intimée, elle perçoit depuis le 1 er janvier 2014 un revenu mensuel net de 3'358 fr. au lieu des 2'000 fr. retenus lors des précédentes fixations de la contribution d’entretien (cf. c. 4.3 supra). Le train de vie des époux, compte tenu de la garde alternée prévue dans les faits par les époux – la mère disposant juridiquement toujours du droit de garde formel sur ses enfants – est de 16'018 fr. pour l’épouse et de 12'938 fr. pour le mari (cf. c. 5.3 supra), soit de 28'956 fr. au total. Les revenus cumulés des époux (27'158 fr.) ne permettant ainsi pas de maintenir leurs deux trains de vie, la contribution d'entretien doit être fixée de telle manière que chaque époux ait droit à un train de vie semblable (cf. c. 5.1 supra). La contribution d’entretien due par l’appelant doit dès lors être fixée, dès le 1 er janvier 2014, à un montant arrondi de 10'850 fr. (23'800 fr. – 12'938 fr. = 10'862 fr.), ce qui, compte tenu des revenus de l’intimée, permet à celle-ci de maintenir un train de vie de quelque 14'200 fr. par mois. Les griefs de l'appelant sur le détail des charges et le calcul de la quotité disponible apparaissent ainsi sans objet dès lors qu'il est admis que le train de vie antérieur ne peut être maintenu tel quel. Dès lors que l’intimée a toujours le droit de garde sur les enfants et continue à assumer les charges courantes de ceux-ci (assurance-maladie, loisirs, etc.), les allocations familiales doivent continuer de lui être versées en sus de la contribution d’entretien.</w:t>
      </w:r>
    </w:p>
    <w:p>
      <w:r>
        <w:rPr>
          <w:b/>
        </w:rPr>
        <w:t>E. 6.1</w:t>
      </w:r>
    </w:p>
    <w:p>
      <w:r>
        <w:t>Aux termes de l’art. 106 CPC, les frais – qui comprennent les frais judiciaires et les dépens (art. 95 al. 1 CPC) –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 Si le procès portait sur des prétentions non pécuniaires dont certaines seulement ont été accueillies, la liberté d'appréciation du tribunal sera très large, de telle sorte qu'on se trouvera dans une situation proche d'une répartition en équité, même si aucune des éventualités prévues par l'art. 107 al. 1 CPC n'est réalisée (Tappy, CPC commenté, Bâle 2011, n. 34 ad art. 106 CPC).</w:t>
      </w:r>
    </w:p>
    <w:p>
      <w:r>
        <w:rPr>
          <w:b/>
        </w:rPr>
        <w:t>E. 6.2</w:t>
      </w:r>
    </w:p>
    <w:p>
      <w:r>
        <w:t>Au vu de l'admission partielle de la requête de mesures provisionnelles formée le 3 décembre 2013 par l'appelant, qui demandait une réduction de sa contribution d'entretien, et du rejet des conclusions reconventionnelles prises par l'intimée par procédé écrit du 23 février 2014, les frais judiciaires de première instance, par 400 fr., doivent être mis à la charge de chaque partie par moitié. En conséquence, comme les frais judiciaires et les dépens doivent être répartis de la même manière (cf. art. 95 CPC), il y a lieu de compenser les dépens de première instance, comme l'avait fait le premier juge.</w:t>
      </w:r>
    </w:p>
    <w:p>
      <w:r>
        <w:rPr>
          <w:b/>
        </w:rPr>
        <w:t>E. 7</w:t>
      </w:r>
    </w:p>
    <w:p>
      <w:r>
        <w:t>En définitive, l'appel doit être partiellement admis et l'ordonnance attaquée réformée aux chiffres I et IV de son dispositif en ce sens qu'A.J.________ contribuera à l’entretien des siens par le régulier versement, d’avance le premier de chaque mois, d’une contribution mensuelle de 10’850 fr., allocations familiales non comprises et dues en sus, dès le 1 er janvier 2014 (I), les frais de la procédure provisionnelle, par 400 fr., étant mis pour moitié à la charge du mari et pour moitié à la charge de l'épouse (IV). Vu le sort de l’appel, les frais judiciaires de deuxième instance, arrêtés à 6'000 fr. (art. 65 al. 4 TFJC [tarif des frais judicaires civils du 28 septembre 2010; RSV 270.11.5]), seront répartis par moitié entre les parties et les dépens seront compensés (art. 106 al. 2 CPC). L’intimée versera dès lors à l’appelant la somme de 3'000 fr. à titre de restitution partielle d’avance de frais de deuxième instance (art. 111 al. 2 CPC). Par ces motifs, le Juge délégué de la Cour d’appel civile du Tribunal cantonal, statuant à huis clos, prononce : I. L’appel est partiellement admis. II. L'ordonnance est réformée comme il suit aux chiffres I et IV de son dispositif : I. dit qu’A.J.________ contribuera à l’entretien des siens par le régulier versement, d’avance le premier de chaque mois, en mains d'W.________, d’une contribution mensuelle de 10’850 fr. (dix mille huit cent cinquante francs), allocations familiales non comprises et dues en sus, dès le 1 er janvier 2014; IV. met les frais de la procédure provisionnelle, arrêtés à 400 fr. (quatre cents francs), pour moitié à la charge du requérant A.J.________ et pour moitié à la charge de l’intimée W.________. L'ordonnance est confirmée pour le surplus. III. Les frais judiciaires de deuxième instance, arrêtés à 6'000 fr. (six mille francs), sont mis pour moitié à la charge d'A.J.________ et pour moitié à la charge d'W.________. IV. W.________ versera à A.J.________ la somme de 3'000 fr. (trois mille francs), à titre de restitution partielle d’avance de frais de deuxième instance. V. L'arrêt est exécutoire. Le juge délégué : La greffière : Du L'arrêt qui précède, dont la rédaction a été approuvée à huis clos, est notifié à : ‑ Me Violaine Jaccottet Tissot (pour A.J.________), ‑ Me Malek Buffat Reymond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