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757 vom 29. September 2014</w:t>
      </w:r>
    </w:p>
    <w:p>
      <w:r>
        <w:t>VD Tribunal cantonal, 2014-09-29, FR</w:t>
      </w:r>
    </w:p>
    <w:p>
      <w:r>
        <w:rPr>
          <w:b/>
        </w:rPr>
        <w:t xml:space="preserve">Quelle: </w:t>
      </w:r>
      <w:r>
        <w:t>https://mcp.opencaselaw.ch/entscheid/vd_findinfo_HC___2014___757</w:t>
      </w:r>
    </w:p>
    <w:p>
      <w:r>
        <w:t>FR: VD_FINDINFO HC / 2014 / 757 du 29 septembre 2014</w:t>
      </w:r>
    </w:p>
    <w:p>
      <w:r>
        <w:t>IT: VD_FINDINFO HC / 2014 / 757 del 29 settembre 2014</w:t>
      </w:r>
    </w:p>
    <w:p>
      <w:pPr>
        <w:pStyle w:val="Heading2"/>
      </w:pPr>
      <w:r>
        <w:t>Regeste</w:t>
      </w:r>
    </w:p>
    <w:p>
      <w:r>
        <w:t>MESURE PROVISIONNELLE, LIMITATION{EN GÉNÉRAL}, POUVOIR DE DISPOSER | 960 CC, 261 CPC (CH)</w:t>
      </w:r>
    </w:p>
    <w:p>
      <w:pPr>
        <w:pStyle w:val="Heading2"/>
      </w:pPr>
      <w:r>
        <w:t>Erwägungen</w:t>
      </w:r>
    </w:p>
    <w:p>
      <w:r>
        <w:rPr>
          <w:b/>
        </w:rPr>
        <w:t>E. 1</w:t>
      </w:r>
    </w:p>
    <w:p>
      <w:r>
        <w:t>L’art. 308 al. 1 let. b CPC (Code de procédure civile du 19 décembre 2008, RS 272) ouvre la voie de l’appel contre les décisions de première instance sur les mesures provisionnelles dans la mesure où, pour les affaires patrimoniales, la valeur litigieuse de première instance est de 10'000 fr. au moins (art. 308 al. 2 CPC). Les décisions sur les mesures provisionnelles étant soumises à la procédure sommaire (art. 248 let. d CPC), le délai d’appel est de dix jours (art. 314 al. 1 CPC). Interjeté en temps utile par une personne qui y a un intérêt dans un litige dont la valeur litigieuse de première instance dépasse 10'000 fr., l’appel est recevable.</w:t>
      </w:r>
    </w:p>
    <w:p>
      <w:r>
        <w:rPr>
          <w:b/>
        </w:rPr>
        <w:t>E. 2</w:t>
      </w:r>
    </w:p>
    <w:p>
      <w:r>
        <w:t>a) L’appel portant sur des mesures provisionnelles,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3</w:t>
      </w:r>
    </w:p>
    <w:p>
      <w:r>
        <w:t>L’appelante reproche au premier juge d’avoir fondé sa décision sur une appréciation erronée des faits. Elle soutient qu’à défaut de paiement du solde du prix convenu dans le contrat de vente à terme conditionnelle à l’échéance du délai prévu entre les parties, l’intimé ne pourrait plus obtenir – dans un procès au fond – l’exécution du contrat. Elle considère ainsi que l’intimé n’a pas rendu vraisemblable le bien-fondé de sa prétention et que le blocage de ses immeubles serait contraire à la loi. L’intimé estime, quant à lui, qu’il n’a pas été mis en demeure de payer le solde du prix de vente convenu de manière conforme au chiffre 20 de l’acte de vente litigieux. Même si cela avait été le cas, cette mise en demeure n’aurait, selon lui, aucune portée, l’appelante l’ayant dissuadé de s’exécuter en payant le solde du prix de vente. Partant, l’intimé soutient que l’appelante serait toujours liée par l’acte de vente du 21 décembre 2011. a)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Pour bénéficier de l’octroi de mesures provisionnelles, le requérant doit rendre vraisemblable qu’un droit dont il se prétend titulaire est l’objet d’une atteinte ou risque de l’être, et que cette atteinte est susceptible d’entraîner un préjudice difficilement réparable (Bohnet, CPC commenté, Bâle 2011, n. 3 ad art. 261 CPC; Message du Conseil fédéral, FF 2006, p. 6841 ss, spéc. p. 6961). Un fait ou un droit est rendu vraisemblable lorsque, au terme d’un examen sommaire, sur la base d’éléments objectifs, ce fait ou ce droit est rendu probable, sans pour autant que la possibilité que les faits aient pu se dérouler autrement ou que la situation juridique se présente différemment soit exclue (Bohnet, op. cit., n. 4 ad art. 261 CPC et les réf. citées). Le requérant doit rendre vraisemblable, sur la base d’éléments objectifs, qu’un danger imminent menace ses droits, soit qu’ils risquent de ne plus pouvoir être consacrés, ou seulement tardivement (Bohnet, op. cit., n. 10 ad art. 261 CPC). b) Aux termes de l'art. 960 CC, les restrictions apportées au droit d'aliéner certains immeubles peuvent être annotées, lorsqu'elles résultent d'une décision officielle rendue pour la conservation de droits litigieux ou de prétentions exécutoires (al. 1 ch. 1). Ces restrictions deviennent, par l'effet de leur annotation, opposables à tout droit postérieurement acquis sur l'immeuble (al. 2). Les prétentions visées par l'art. 960 al. 1 ch. 1 CC sont personnelles; elles doivent se rapporter à l'immeuble même qui est en cause et entraîner, quand elles sont reconnues, des effets au Registre foncier à l'exclusion de simples créances pécuniaires (ATF 81 III 98 c. 2, JT 1956 II 16 ; Steinauer, Les droits réels, tome I, 5 e éd. 2012, n. 771a et les réf. citées ; Pelet, Réglementation fédérale des mesures provisionnelles et procédure civile cantonale contentieuse, thèse Lausanne 1986, n. 202 ; TF 5P_195/2004 du 23 août 2004 c. 3.2 ; Deschenaux, Le Registre foncier, Traité de droit privé suisse, vol. V, t. II/2, pp. 284-285). L'annotation ne peut être opérée qu'en prévision d'une inscription au sens de l'art. 958 CC, d'une annotation définitive ou de la radiation de ces écritures (ATF 104 II 170 c. 5, JT 1979 I 68; Pelet, op. cit., n. 202). Ainsi, dans le procès en exécution d’une vente immobilière, le tribunal peut ordonner, par voie de mesures provisionnelles, l’annotation d’une restriction du droit d’aliéner l’immeuble en cause jusqu’à droit connu (Steinauer, op. cit., n. 771a). Sous l’empire de l’ancien droit de procédure cantonal, les art. 101 ss CPC-VD permettaient d'obtenir une annotation provisoire au Registre foncier selon l'art. 960 al. 1 ch. 1 CC en tout état de cause, même avant l'ouverture de l'action et même sans urgence, pour écarter la menace d'un dommage difficile à réparer (art. 102 al. 1 ch. 6 CPC-VD ; Poudret/Haldy/Tappy, Procédure civile vaudoise, 3 e éd., Lausanne 2002, n. 3 ad art. 101 CPC-VD ; CCIV 18 février 2011, 2011/23, c. Va et Vb). Désormais, une telle annotation provisoire peut être demandée par la voie des mesures provisionnelles des art. 261 ss CPC (art. 262 let. c CPC ; Bohnet, op. cit., n. 6 ad art. 262 CPC). c) En matière de restriction au droit d'aliéner de l'art. 960 al. 1 ch. 1 CC, il suffit de rendre vraisemblable la possibilité d'une issue favorable de l'action (ATF 100 Ia 18 c. 4a, JT 1975 II 80), la doctrine préconisant à cet égard d'appliquer les critères valables pour les inscriptions provisoires de l'art. 961 CC (Deschenaux, op. cit., p. 287, n. 28), pour lesquelles la jurisprudence se contente généralement d'exiger que la prétention au fond présente une apparence de raison ou n'apparaisse pas d'emblée dépourvue de toute chance de succès (Pelet, op. cit., n. 65, pp. 51 s.), la requête ne devant être rejetée que si l'existence du droit allégué paraît exclue ou au moins très improbable (ibidem ; JT 1994 III 116 c. 5 ; SJ 1981 p. 97 ; CCIV 10 février 2010, 37/2010, c. IIb). d) En l’espèce, pour que des mesures provisionnelles soient ordonnées, l’intimé U.________ doit donc rendre suffisamment vraisemblable ses prétentions tendant au transfert des immeubles par K.________. L’appelante soutient que de telles prétentions sont d’emblée exclues, dès lors que tant le délai de paiement du prix de vente prorogé par acte authentique au 25 juin 2012 que le délai au 12 juillet 2012 fixé par lettre du 26 juin 2012 se sont écoulés sans que l’intimé ne verse le solde du prix comme prévu par le contrat. L’intimé ne pourrait plus exiger l’exécution de celui-ci et l’appelante serait fondée à renoncer à l’exécution en réclamant le paiement de la clause pénale. Il est vrai que l’intimé ne s’est pas conformé au contrat et qu’à la lettre de celui-ci, il ne pourrait pas en obtenir l’exécution. Il ne saurait prétendre que la mise en demeure prévue au chiffre 20 de ce contrat n’a pas eu lieu au vu du délai d’acheminement de la lettre du 26 juin 2012. Avant l’échéance du délai fixé dans cette lettre au 12 juillet 2012, les parties ont en effet eu des contacts sous diverses formes et sont tombées d’accord au sujet d’une annulation de la vente, même si le sort de la clause pénale n’a pas été réglé. Au moment de passer cet accord, l’intimé ne s’est pas plaint de ce qu’il n’avait pas bénéficié d’un plein délai de quinze jours pour s’acquitter du prix, délai qui était désormais dépourvu d’objet. L’intimé ne saurait se plaindre aujourd’hui de l’insuffisance d’un délai auquel il a implicitement renoncé. L’intimé fait cependant valoir que, quelques jours avant l’échéance du délai de paiement que l’appelante lui avait accordé, celle-ci lui aurait déclaré en substance que la vente pouvait être annulée sans application de la clause pénale et qu’un nouveau contrat serait envisagé ultérieurement. Une telle circonstance paraît établie par le témoin G.________. On ne s’explique pas et l’appelante n’expose pas pourquoi elle aurait effectué une telle déclaration alors que la vente était à bout touchant. On ne peut que supposer, soit avec l’intimé qu’il se serait agi d’une manœuvre visant à le dissuader de s’acquitter du solde du prix afin de faire naître un droit au paiement de la clause pénale, soit qu’elle entendait se départir du contrat afin d’opérer une vente à meilleur prix avec un tiers. Dans tous les cas, si une manœuvre dolosive devait être attribuée à l’appelante, l’intimé pourrait plaider que le défaut d’exécution ne lui est pas imputable au sens de l’art. 119 al. 2 CO. Qu’il n’ait pas consigné le solde du prix à temps, comme le relève l’appelante, n’est pas déterminant, puisque l’intimé soutient précisément qu’il a été dissuadé de procéder à une exécution, dont la consignation n’est qu’un mode. Quant à une exécution postérieure au dernier délai de paiement, elle n’avait guère de sens dès lors que l’appelante persistait à invoquer la caducité du contrat et à exiger le paiement de la clause pénale, cela aussi longtemps que le litige n’avait pas été tranché : si l’intimé n’était pas mis en possession de l’immeuble, rien ne justifiait qu’il immobilise le prix y relatif. Dans l’hypothèse où le défaut d’exécution à temps ne serait pas imputable à l’intimé, cela pourrait avoir pour conséquence que la clause pénale ne serait pas due. On ne voit en revanche pas comment construire un droit de l’intimé à l’exécution du contrat et au transfert immobilier dès lors qu’il a laissé s’écouler le délai dans lequel il devait s’acquitter du solde du prix. Dans les jours précédant cette échéance, lorsque l’intimé s’est vu proposer par l’appelante d’annuler le contrat sans application de la clause pénale, il lui incombait soit d’accepter cette proposition et de concrétiser l’accord des parties par un acte notarié remplaçant l’accord en vigueur, soit de payer le solde du prix. Après avoir pris le soin de prolonger à deux reprises ce délai par acte authentique, l’intimé ne saurait prétendre qu’une convention d’importance entre les parties, résultant de la proposition de la venderesse et de son acceptation par l’acheteur, pouvait faire échec au contrat de vente sans adopter la forme d’un acte notarié. En s’abstenant de concrétiser l’accord des parties par un acte notarié, l’intimé a laissé en vigueur l’acte de vente initial prévoyant la caducité de la vente en cas de défaut de paiement à l’échéance du délai, moyennant mise en demeure. Au vu de ce qui précède, s’il n’est pas exclu que l’intimé puisse échapper au paiement de la clause pénale, il ne rend pas vraisemblable qu’il puisse contraindre l’appelante à effectuer un transfert de propriété sur les immeubles objet du contrat litigieux. Partant, l’annotation d’une restriction au droit d’aliéner de ces immeubles ne se justifie pas.</w:t>
      </w:r>
    </w:p>
    <w:p>
      <w:r>
        <w:rPr>
          <w:b/>
        </w:rPr>
        <w:t>E. 5</w:t>
      </w:r>
    </w:p>
    <w:p>
      <w:r>
        <w:t>En définitive, l’appel doit être admis, l’ordonnance de mesures provisionnelles étant modifiée dans le sens des considérants qui précèdent. Vu l’issue du litige, les frais judiciaires de deuxième instance, arrêtés à 800 fr. (art. 65 al. 1 TFJC [tarif du 28 septembre 2010 des frais judiciaires civils, RSV 270.11.5]), seront mis à la charge de l’intimé (art. 106 al. 1 CPC). Obtenant gain de cause, l'appelante a droit à des dépens de deuxième instance, arrêtés à 1'000 fr. (art. 7 et 20 al. 2 TDC [tarif des dépens en matière civile du 23 novembre 2010, RS 270.11.6]). L’intimé U.________ doit verser à l’appelante K.________ qui obtient gain de cause, la somme de 1'800 fr. à titre de dépens et de restitution d’avance de frais de deuxième instance (art. 2, 3 et 7 TDC [tarif des dépens en matière civile du 23 novembre 2010, RSV 270.11.6]). Par ces motifs, le Juge délégué de la Cour d’appel civile du Tribunal cantonal, statuant à huis clos, prononce : I. L’appel est admis. II. L’ordonnance est réformée aux chiffres II, III et IV comme il suit : II. ordonne au Conservateur du Registre foncier d’Aigle et de la Riviera de procéder à la radiation de l’annotation provisoire, effectuée en faveur de U.________ en vertu de l’ordonnance de mesures superprovisionnelles rendue le 21 novembre 2013 par le Juge délégué de la Chambre patrimoniale cantonale, d’une restriction droit d’aliéner les immeubles n os [...], [...] et [...] du cadastre de la commune de [...], propriété de K.________. III. arrête les frais judiciaires de la procédure provisionnelle à 4'642 fr. (quatre mille six cent quarante-deux francs) et dit que ceux-ci sont mis à la charge du requérant, par 2'321 fr. (deux mille trois cent vingt-et-un francs), et à la charge de l’intimée, par 2’321 fr. (deux mille trois cent vingt-et-un francs). IV. dit que les dépens sont compensés ; L’ordonnance est confirmée pour le surplus. III. Les frais judiciaires de deuxième instance, arrêtés à 800 fr. (huit cents francs), sont mis à la charge de l’intimé. IV. L’intimé U.________ doit verser à l’appelante K.________ la somme de 1'800 fr. (mille huit cents francs) à titre de dépens et de restitution d’avance de frais de deuxième instance. V. L’arrêt est exécutoire. Le Juge délégué : La greffière : Du L'arrêt qui précède, dont la rédaction a été approuvée à huis clos, est notifié à : ‑ Me Jean-Philippe Heim, (pour K.________), ‑ Me Alexandre Bernel, (pour U.________). Le Juge délégué de la Cour d’appel civile considère que la valeur litigieuse est de 150’000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