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753 vom 3. September 2014</w:t>
      </w:r>
    </w:p>
    <w:p>
      <w:r>
        <w:t>VD Tribunal cantonal, 2014-09-03, FR</w:t>
      </w:r>
    </w:p>
    <w:p>
      <w:r>
        <w:rPr>
          <w:b/>
        </w:rPr>
        <w:t xml:space="preserve">Quelle: </w:t>
      </w:r>
      <w:r>
        <w:t>https://mcp.opencaselaw.ch/entscheid/vd_findinfo_HC___2014___753</w:t>
      </w:r>
    </w:p>
    <w:p>
      <w:r>
        <w:t>FR: VD_FINDINFO HC / 2014 / 753 du 3 septembre 2014</w:t>
      </w:r>
    </w:p>
    <w:p>
      <w:r>
        <w:t>IT: VD_FINDINFO HC / 2014 / 753 del 3 settembre 2014</w:t>
      </w:r>
    </w:p>
    <w:p>
      <w:pPr>
        <w:pStyle w:val="Heading2"/>
      </w:pPr>
      <w:r>
        <w:t>Regeste</w:t>
      </w:r>
    </w:p>
    <w:p>
      <w:r>
        <w:t>MOTIVATION DE LA DEMANDE, DÉCISION D'IRRECEVABILITÉ, OBLIGATION DE CHIFFRER LES CONCLUSIONS | 311 al. 1 CPC (CH)</w:t>
      </w:r>
    </w:p>
    <w:p>
      <w:pPr>
        <w:pStyle w:val="Heading2"/>
      </w:pPr>
      <w:r>
        <w:t>Erwägungen</w:t>
      </w:r>
    </w:p>
    <w:p>
      <w:r>
        <w:rPr>
          <w:b/>
        </w:rPr>
        <w:t>E. 3</w:t>
      </w:r>
    </w:p>
    <w:p>
      <w:r>
        <w:t>Selon l’art. 311 al. 1 CPC, l’appel doit être motivé. La motivation doit être suffisamment explicite pour que l’instance d’appel puisse la comprendre aisément, ce qui suppose une désignation précise des passages de la décision que le recourant attaque et des pièces du dossier sur lesquelles repose sa critique (ATF 138 III 374 c. 4.3.1). A défaut de motivation suffisante, l’appel est irrecevable (TF 4A_651/2012 du 7 février 2013 c. 4.2). En outre, à l’instar de l’acte introductif d’instance, l’acte d’appel doit également contenir des conclusions chiffrées. Il faut donc que l’appelant explicite dans quelle mesure la décision attaquée doit être modifiée ou annulée (ATF 137 III 617, rés. in SJ 2012 I 373, c. 4.2.2 et les références citées), ses conclusions pouvant être interprétées à la lumière de la motivation de l'appel. Il n'appartient pas à l'instance d'appel de fixer un délai à l'appelant pour faire préciser ses conclusions si celles-ci ne sont pas suffisamment précises, l'art. 132 al. 1 et 2 CPC ne s'appliquant pas dans une telle situation (ATF 137 III 617 c. 4 et 5, RSPC 2012, p. 221 et SJ 2012 I 373). En l’espèce, l’appelant a indiqué qu’il « conteste tous les chiffres du dispositif pour violation du droit du régime matrimonial » sans toutefois préciser sur quels points le jugement entrepris violerait le droit en vigueur, ni même dans quelle mesure la décision attaquée devrait être modifiée ou annulée. Dépourvu de motivation suffisante et de conclusions valables au sens de la jurisprudence susmentionnée, l’appel doit dès lors être déclaré irrecevable.</w:t>
      </w:r>
    </w:p>
    <w:p>
      <w:r>
        <w:rPr>
          <w:b/>
        </w:rPr>
        <w:t>E. 4</w:t>
      </w:r>
    </w:p>
    <w:p>
      <w:r>
        <w:t>En définitive, l’appel doit être déclaré irrecevable, dans la procédure de l’art. 312 al. 1 CPC, et le jugement entrepris est confirmé. Le présent arrêt peut être rendu sans frais (art. 11 TFJC [tarif du 28 septembre 2010 des frais judiciaires civils ;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