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750 vom 25. August 2014</w:t>
      </w:r>
    </w:p>
    <w:p>
      <w:r>
        <w:t>VD Tribunal cantonal, 2014-08-25, FR</w:t>
      </w:r>
    </w:p>
    <w:p>
      <w:r>
        <w:rPr>
          <w:b/>
        </w:rPr>
        <w:t xml:space="preserve">Quelle: </w:t>
      </w:r>
      <w:r>
        <w:t>https://mcp.opencaselaw.ch/entscheid/vd_findinfo_HC___2014___750</w:t>
      </w:r>
    </w:p>
    <w:p>
      <w:r>
        <w:t>FR: VD_FINDINFO HC / 2014 / 750 du 25 août 2014</w:t>
      </w:r>
    </w:p>
    <w:p>
      <w:r>
        <w:t>IT: VD_FINDINFO HC / 2014 / 750 del 25 agosto 2014</w:t>
      </w:r>
    </w:p>
    <w:p>
      <w:pPr>
        <w:pStyle w:val="Heading2"/>
      </w:pPr>
      <w:r>
        <w:t>Regeste</w:t>
      </w:r>
    </w:p>
    <w:p>
      <w:r>
        <w:t>OBLIGATION D'ENTRETIEN, CONJOINT, ENFANT, PROTECTION DE L'UNION CONJUGALE | 176 al. 1 CC, 176 al. 3 CC, 276 CC, 308 al. 1 let. b CPC (CH), 308 al. 2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par une partie qui y a intérêt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3</w:t>
      </w:r>
    </w:p>
    <w:p>
      <w:r>
        <w:t>L’appelant, qui ne conteste pas l’application de la méthode du minimum vital d’entretien avec répartition de l’excédent, fait valoir qu’il ne se justifie pas de traiter de manière différente les époux s’agissant de leur temps d’activité. Dès lors que la garde des enfants est partagée, il soutient que l’intimée devrait également travailler à temps plein et qu’il y aurait lieu, compte tenu de son âge, de son état de santé et de sa formation, de lui imputer un revenu hypothétique de l’ordre de 5'791 fr. 65 ([3'475 / 60 x 100), correspondant au revenu qu’elle tirerait de son activité actuelle si elle travaillait à temps plein.</w:t>
      </w:r>
    </w:p>
    <w:p>
      <w:r>
        <w:rPr>
          <w:b/>
        </w:rPr>
        <w:t>E. 3.1.1</w:t>
      </w:r>
    </w:p>
    <w:p>
      <w:r>
        <w:t>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Le juge doit partir de la convention, expresse ou tacite, que les époux ont conclue au sujet de la répartition des tâches et des ressources entre eux (art. 163 al. 2 CC), l'art. 163 CC demeurant en effet la cause de l'obligation d'entretien réciproque des époux (ATF 137 III 385 c. 3.1).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(ATF 137 III 385 c. 3.1).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 3.1 ; arrêts 5A_228/2012 du 11 juin 2012; 5A_807/2011 du 16 avril 2012 c. 6.3.1; cf. aussi: arrêt 5A_122/2011 du 9 juin 2011 c. 4). Ainsi, l'absence de perspectives de réconciliation ne justifie pas à elle seule la suppression de toute contribution d'entretien (ATF 137 III 385 c. 3.1, précisant l'arrêt paru aux ATF 128 III 65).</w:t>
      </w:r>
    </w:p>
    <w:p>
      <w:r>
        <w:rPr>
          <w:b/>
        </w:rPr>
        <w:t>E. 3.1.2</w:t>
      </w:r>
    </w:p>
    <w:p>
      <w:r>
        <w:t>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 ATF 123 III 1 c. 3b ; JT 1998 I 39).</w:t>
      </w:r>
    </w:p>
    <w:p>
      <w:r>
        <w:rPr>
          <w:b/>
        </w:rPr>
        <w:t>E. 3.1.3</w:t>
      </w:r>
    </w:p>
    <w:p>
      <w:r>
        <w:t>Pour fixer la contribution d'entretien, le juge doit en principe tenir compte du revenu effectif du débirentier ; il peut toutefois imputer au débirentier un revenu hypothétique supérieur. Le motif pour lequel celui-ci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TF 5A_218/2012 du 29 juin 2012 c. 3.3.3, in FamPra.ch 2012 p. 1099 ; TF 5A_748/2012 du 15 mai 2013 c. 4.3.2.1).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 toutefois, même dans ce dernier cas, les faits qui permettent d'appliquer des règles d'expérience doivent être établis (TF 5A_152/2013 du 16 octobre 2013 c. 3.2.2). Les principes relatifs au revenu hypothétique valent tant pour le débiteur que pour le créancier d'entretien, un revenu hypothétique pouvant en effet aussi être imputé au créancier d'entretien (TF 5A_838/2009 du 6 mai 2010, in FamPra.ch 2010 no 45 p. 669; TF 5P. 63/2006 du 3 mai 2006 c. 3.2).</w:t>
      </w:r>
    </w:p>
    <w:p>
      <w:r>
        <w:rPr>
          <w:b/>
        </w:rPr>
        <w:t>E. 3.1.4</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115 II 6 c. 3c; 137 III 102 c.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et la référence). Elles ne constituent toutefois pas des règles strictes ; leur application dépend des circonstances du cas concret (ATF 137 III 102 c. 4.2.2.2; arrêt 5A_24172010 du 9 novembre 2010 c. 5.4.3), notamment de ce qui a été convenu durant la vie commune (arrêts 5A_70/2013 du 11 juin 2013 c. 5.1 ; 5A_6/2009 du 30 avril 2009 c. 2.2) ou des capacités financières du couple.</w:t>
      </w:r>
    </w:p>
    <w:p>
      <w:r>
        <w:rPr>
          <w:b/>
        </w:rPr>
        <w:t>E. 3.2</w:t>
      </w:r>
    </w:p>
    <w:p>
      <w:r>
        <w:t>En l’espèce, le couple a trois enfants, âgés 8, 6 et deux ans et demi. L’appelant a toujours travaillé à plein temps du temps de la vie commune ; il en va de même actuellement. L’intimée exerçait également une activité à plein temps jusqu’à la naissance de leur premier enfant en [...] 2006 ; elle a réduit son taux d’activité à 50% et continué à travailler à ce même rythme après la naissance de leur deuxième enfant en [...] 2008. L’intimée a ensuite accepté des mandats d’une durée fixe de six mois, qui représentaient un taux d’activité de 30 à 40% selon les estimations de l’intéressée ; à la naissance du troisième enfant le [...] 2012, elle ne travaillait plus. Il ressort ainsi de la répartition des tâches entre époux que depuis la naissance de leur premier enfant, l’intimée n’a jamais travaillé à plus de 50% et qu’elle a progressivement réduit son taux d’occupation et finalement cessé toute activité professionnelle pour se consacrer à leurs trois enfants. Elle ne travaillait plus lorsque le couple s’est séparé au printemps 2012, alors que le dernier né était âgé de quelques semaines. L’intimée a repris un emploi à compter du 15 avril 2013 à un taux d’activité de 60% ; vu le jeune âge des enfants, on ne saurait exiger d’elle qu’elle augmente encore son taux d’activité, celui-ci s’avérant déjà supérieur aux exigences jurisprudentielles, d’autant qu’elle a déclaré attendre que le dernier né commence l’école enfantine avant d’augmenter son activité. En raison du système de garde alternée convenu entre les parties, les enfants passent certes une semaine sur deux auprès de leur père. On ne saurait toutefois exiger de l’intimée qu’elle consacre son temps ainsi libéré à l’augmentation de son temps de travail, celle-ci souhaitant légitimement pouvoir se dédier à ses enfants et leur consacrer du temps les semaines où elle en a la garde. C’est d’ailleurs dans cet esprit que le premier juge a aménagé le système de garde alternée, mis en place alors que l’appelant se trouvait au chômage, en considérant à bon droit qu’il était dans l’intérêt des enfants, les semaines où ils se trouvaient chez le père, qu’ils passent le jeudi auprès de leur mère, qui ne travaille pas ce jour, plutôt qu’avec la maman de jour. Le grief doit ainsi être rejeté.</w:t>
      </w:r>
    </w:p>
    <w:p>
      <w:r>
        <w:rPr>
          <w:b/>
        </w:rPr>
        <w:t>E. 4</w:t>
      </w:r>
    </w:p>
    <w:p>
      <w:r>
        <w:t>L’appelant soutient que la contribution à l’entretien de la famille aurait dû être arrêtée de manière différenciée pour le conjoint d’une part, et les enfants d’autre part. Il estime que la pratique vaudoise, consistant à fixer dans le cadre des mesures protectrices de l’union conjugale une contribution d’entretien globale pour l’ensemble de la famille est contraire aux art. 163, 176 et 276 CC et viole la jurisprudence du Tribunal fédéral.</w:t>
      </w:r>
    </w:p>
    <w:p>
      <w:r>
        <w:rPr>
          <w:b/>
        </w:rPr>
        <w:t>E. 4.1</w:t>
      </w:r>
    </w:p>
    <w:p>
      <w:r>
        <w:t>Dans son arrêt 5A_743/2012 du 6 mars 2013, le Tribunal fédéral a exposé que «la contribution d'entretien due par un conjoint à l'autre dans le cadre de mesures provisionnelles fixées pour la durée de la procédure de divorce doit être arrêtée conformément aux art. 163 CC, 137 al. 2 aCC et 176 al. 1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 bien que la possibilité de fixer une contribution de manière globale pour l'ensemble de la famille ne ressorte pas de la loi, on ne saurait pour autant en déduire que ce procédé aboutirait à un résultat arbitraire. »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(CACI, 24 juin 2014/354 ; Tappy, Commentaire romand, n. 18 ad. art. 137 CC, note en bas de page 57, p. 1016).</w:t>
      </w:r>
    </w:p>
    <w:p>
      <w:r>
        <w:rPr>
          <w:b/>
        </w:rPr>
        <w:t>E. 4.2</w:t>
      </w:r>
    </w:p>
    <w:p>
      <w:r>
        <w:t>En l’espèce, la fixation d’une contribution globale à l’entretien de la famille dans le cadre des mesures protectrices de l’union conjugale échappe dès lors à la critique, l’art. 176 CC n’imposant pas qu’une distinction soit faite entre le montant alloué pour l’entretien de l’épouse et celui alloué pour l’entretien des enfants mineurs. Au demeurant,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annoté, Bâle 2011,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La fixation d’un contribution unique à l’entretien de la famille, sans distinction de la part revenant au conjoint et celles revenant aux enfants, doit dès lors être confirmée.</w:t>
      </w:r>
    </w:p>
    <w:p>
      <w:r>
        <w:rPr>
          <w:b/>
        </w:rPr>
        <w:t>E. 5</w:t>
      </w:r>
    </w:p>
    <w:p>
      <w:r>
        <w:t>L’appelant se plaint de ce qu’il n’a pas été tenu compte de sa charge fiscale, qui s’élèverait à 784 fr. par mois.</w:t>
      </w:r>
    </w:p>
    <w:p>
      <w:r>
        <w:rPr>
          <w:b/>
        </w:rPr>
        <w:t>E. 5.1</w:t>
      </w:r>
    </w:p>
    <w:p>
      <w:r>
        <w:t>Pour fixer la capacité contributive des parties en matière d’entretien, le juge doit déterminer les ressources et les charges de celles-ci. Si leurs moyens sont limités par rapport aux besoins vitaux, il faut s’en tenir aux charges comprises dans le minimum vital au sens du droit des poursuites, qui doit en principe être garanti au débirentier, sans prendre en considération les impôts courants, qui ne font pas partie des besoins vitaux (ATF 127 III 289 c. 2a/bb, 126 III 353 c. 1a/aa), ni les arriérés d'impôts (TF 5A_890/2013 du 22 mai 2014 c. 4.4, destiné à la publication).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 TF 5A_732/2007 du 4 avril 2008 c. 2.1). Ce principe s'applique aussi aux mesures protectrices de l'union conjugale et aux mesures provisionnelles (TF 5A_511/2010 du 4 février 2011 c. 2.2.3 ; TF 5A_508/2011 du 21 novembre 2011 c. 4.2.5 ; TF 5A_219/2014 du 26 juin 2014 c. 4.2.1). Lorsque la charge fiscale est prise en compte, elle doit l’être chez les deux époux.</w:t>
      </w:r>
    </w:p>
    <w:p>
      <w:r>
        <w:rPr>
          <w:b/>
        </w:rPr>
        <w:t>E. 5.2</w:t>
      </w:r>
    </w:p>
    <w:p>
      <w:r>
        <w:t>En l’espèce, il apparaît qu’après couverture du déficit de l’intimée, les parties disposent d’un montant disponible de 1'220 fr. ; la charge fiscale peut dès lors être prise en considération. Le montant évoqué par l’appelant ne saurait toutefois être retenu, dès lors que celui-ci concerne les impôts du couple (cf. pièce 219 du bordereau de pièces produites par l’intimé le 18 mars 2014). Selon bordereaux fiscaux produits pour la 1 ère et 2 e tranche 2014, l’appelant est tenu d’acquitter mensuellement d’un acompte d’impôt se montant à 350 fr. 75. Compte tenu du revenu mensuel de l’intimée (3'475 fr. 40) et de la contribution arrêtée par le premier juge, sa charge fiscale peut être estimée à 663 fr. 35 par mois (cf. calculette à disposition sur le site : vd.ch/themes/etat-droit-finances/impots/impots-individus-personnes-physiques). Après couverture du déficit de l’intimée, à hauteur de 2'339 fr. 20 par mois (3'397 + 78.40 – 5’151.33 – 663.35), le disponible du couple s’élèverait à 206 fr. (8'430 – 5'534.05 – 350.75 – 2'339.20), de sorte que la contribution d’entretien en faveur de la famille devrait être arrêtée à un montant de l’ordre de 2'442 fr. 20 (2'339.20 + 103) par mois, soit un montant proche de la contribution querellée (2'285 fr.). Dès lors que les revenus de l’appelant lui permettent de s’acquitter de la contribution contestée et de supporter la charge fiscale lui incombant, la contribution fixée par le premier juge peut être confirmée.</w:t>
      </w:r>
    </w:p>
    <w:p>
      <w:r>
        <w:rPr>
          <w:b/>
        </w:rPr>
        <w:t>E. 6</w:t>
      </w:r>
    </w:p>
    <w:p>
      <w:r>
        <w:t>En conclusion, l’appel formé par B.O.________ doit être rejeté et le prononcé de mesures protectrices de l’union conjugale confirmé. Les frais judiciaires de deuxième instance, arrêtés à 600 fr. (art. 65 al. 2 TFJC [tarif des frais judiciaires civils du 28 septembre 2010 ; RSV 270.11.5]), sont mis à la charge de l’appelant qui succombe (art. 106 al. 1 CPC). L’appelant versera à A.O.________ des dépens de deuxième instance, (art. 95 al. 1 let. b PCPC),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2'000 fr., conformément à l’art.</w:t>
      </w:r>
    </w:p>
    <w:p>
      <w:r>
        <w:rPr>
          <w:b/>
        </w:rPr>
        <w:t>E. 7</w:t>
      </w:r>
    </w:p>
    <w:p>
      <w:r>
        <w:t>TDC. Par ces motifs, la juge déléguée de la Cour d’appel civile du Tribunal cantonal, statuant à huis clos, prononce : I. L’appel est rejeté. II. Le prononcé est confirmé. III. Les frais judiciaires de deuxième instance, arrêtés à 600 fr. (six cents francs), sont mis à la charge de l’appelant B.O.________. IV. L’appelant B.O.________ doit verser à l’intimée A.O.________, née [...] la somme de 2'000 fr. (deux mille francs) à titre de dépens de deuxième instance. V. L’arrêt est exécutoire. La juge déléguée : Le greffier : Du 2 septembre 2014 Le dispositif de l'arrêt qui précède est communiqué par écrit aux intéressés. Le greffier : Du L'arrêt qui précède, dont la rédaction a été approuvée à huis clos, est notifié en expédition complète, par l'envoi de photocopies à : ‑ Me Alain-Valéry Poitry (pour B.O.________), ‑ Me Yves Hofstetter (pour A.O.________).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