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733 vom 25. August 2014</w:t>
      </w:r>
    </w:p>
    <w:p>
      <w:r>
        <w:t>VD Tribunal cantonal, 2014-08-25, FR</w:t>
      </w:r>
    </w:p>
    <w:p>
      <w:r>
        <w:rPr>
          <w:b/>
        </w:rPr>
        <w:t xml:space="preserve">Quelle: </w:t>
      </w:r>
      <w:r>
        <w:t>https://mcp.opencaselaw.ch/entscheid/vd_findinfo_HC___2014___733</w:t>
      </w:r>
    </w:p>
    <w:p>
      <w:r>
        <w:t>FR: VD_FINDINFO HC / 2014 / 733 du 25 août 2014</w:t>
      </w:r>
    </w:p>
    <w:p>
      <w:r>
        <w:t>IT: VD_FINDINFO HC / 2014 / 733 del 25 agosto 2014</w:t>
      </w:r>
    </w:p>
    <w:p>
      <w:pPr>
        <w:pStyle w:val="Heading2"/>
      </w:pPr>
      <w:r>
        <w:t>Regeste</w:t>
      </w:r>
    </w:p>
    <w:p>
      <w:r>
        <w:t>DÉPENS, DÉCISION DE RENVOI | 92 al. 1 CPC, 107 al. 2 LTF, 106 al. 1 CPC (CH)</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frais et dépens de la procédure cantonale.</w:t>
      </w:r>
    </w:p>
    <w:p>
      <w:r>
        <w:rPr>
          <w:b/>
        </w:rPr>
        <w:t>E. 2</w:t>
      </w:r>
    </w:p>
    <w:p>
      <w:r>
        <w:t>a) La procédure ayant été ouverte avant le 1 er janvier 2011, la question des frais et dépens de première instance est régie par l’ancien droit de procédure cantonal (art. 404 al. 1 CPC). b) Obtenant entièrement gain de cause, l’appelant a droit au remboursement de ses frais de justice, par 775 fr., et au paiement par l’intimée de dépens fixés à 1'500 fr. (art. 91 et 92 CPC-VD [Code de procédure civile vaudois du 14 décembre 1966). c) L’appel du 1 er mars 2013 ne portait pas sur la question de l’indemnité de conseil d’office de première instance de l’appelant. Il ne saurait dès lors être statué sur cette question. Au demeurant, dès lors que la procédure de première instance est appelée à se poursuivre cette indemnité sera incluse dans celle globale fixée à la fin de cette procédure.</w:t>
      </w:r>
    </w:p>
    <w:p>
      <w:r>
        <w:rPr>
          <w:b/>
        </w:rPr>
        <w:t>E. 3</w:t>
      </w:r>
    </w:p>
    <w:p>
      <w:r>
        <w:t>a) La décision attaquée ayant été rendue après le 1 er janvier 2011, la question des frais et dépens de la procédure de deuxième instance est régie par le CPC (art. 405 al. 1 CPC). b) Dès lors que l’appelant a obtenu entièrement gain de cause, les frais judiciaires de deuxième instance, arrêtés à 2'500 fr. (art. 62 al. 1 TFJC [tarif du 28 septembre 2010 des frais judiciaires civils ; RSV 270.11.5]), doivent être mis à la charge de l’intimée, celle-ci devant en outre verser à l’appelant des dépens fixés à 3'000 fr. (art. 106 al. 1 CPC). c) L’appelant ne conteste pas l’indemnité de conseil d’office pour la procédure d’appel fixée par l’arrêt du 14 août 2013. Elle peut être confirmée.</w:t>
      </w:r>
    </w:p>
    <w:p>
      <w:r>
        <w:rPr>
          <w:b/>
        </w:rPr>
        <w:t>E. 4</w:t>
      </w:r>
    </w:p>
    <w:p>
      <w:r>
        <w:t>La question de la légitimation passive de l’intimée ayant été tranchée par le Tribunal fédéral, il y a lieu de retourner le dossier au premier juge pour la poursuite de l’instruction.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