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730 vom 20. August 2014</w:t>
      </w:r>
    </w:p>
    <w:p>
      <w:r>
        <w:t>VD Tribunal cantonal, 2014-08-20, FR</w:t>
      </w:r>
    </w:p>
    <w:p>
      <w:r>
        <w:rPr>
          <w:b/>
        </w:rPr>
        <w:t xml:space="preserve">Quelle: </w:t>
      </w:r>
      <w:r>
        <w:t>https://mcp.opencaselaw.ch/entscheid/vd_findinfo_HC___2014___730</w:t>
      </w:r>
    </w:p>
    <w:p>
      <w:r>
        <w:t>FR: VD_FINDINFO HC / 2014 / 730 du 20 août 2014</w:t>
      </w:r>
    </w:p>
    <w:p>
      <w:r>
        <w:t>IT: VD_FINDINFO HC / 2014 / 730 del 20 agosto 2014</w:t>
      </w:r>
    </w:p>
    <w:p>
      <w:pPr>
        <w:pStyle w:val="Heading2"/>
      </w:pPr>
      <w:r>
        <w:t>Regeste</w:t>
      </w:r>
    </w:p>
    <w:p>
      <w:r>
        <w:t>DÉPENS | 110 CPC (CH)</w:t>
      </w:r>
    </w:p>
    <w:p>
      <w:pPr>
        <w:pStyle w:val="Heading2"/>
      </w:pPr>
      <w:r>
        <w:t>Erwägungen</w:t>
      </w:r>
    </w:p>
    <w:p>
      <w:r>
        <w:rPr>
          <w:b/>
        </w:rPr>
        <w:t>E. 1</w:t>
      </w:r>
    </w:p>
    <w:p>
      <w:r>
        <w:t>L’art. 110 CPC (Code de procédure civile du 19 décembre 2008 ; RS 272) ouvre la voie du recours de l’art. 319 let. b ch. 1 CPC contre les décisions sur les frais. Interjeté en temps utile par une partie qui y a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2 e éd., 2014, n° 27 ad art. 97, p. 1117).</w:t>
      </w:r>
    </w:p>
    <w:p>
      <w:r>
        <w:rPr>
          <w:b/>
        </w:rPr>
        <w:t>E. 3</w:t>
      </w:r>
    </w:p>
    <w:p>
      <w:r>
        <w:t>Le recourant soutient que le montant de 750 fr. alloué à l’intimé à titre de dépens est trop élevé au regard du tarif en la matière. Selon l’art. 14 al. 1 TDC (tarif du 23 novembre 2010 des dépens en matière civile, RSV 270.11.6), dans les contestations portant sur des affaires non patrimoniales, le défraiement est de 400 à 35'000 francs en première instance, en fonction de l'importance et de la difficulté de la cause ainsi que selon le travail effectué. En l’espèce, le litige avait trait à l’inscription d’un poursuite au registre des poursuites de l’intimé. Il avait donc un caractère non patrimonial, de sorte que l’art. 14 al. 1 TDC était applicable. Compte tenu d’un tarif horaire de 250 fr. appliqué aux opérations nécessaires pour déposer une requête de mesures superprovisionnelles et provisionnelles dans une affaire délicate concernant la portée d’une poursuite apparemment injustifiée, le montant fixé par le premier juge respecte le tarif et ne s’avère pas excessif. Le moyen doit être rejeté.</w:t>
      </w:r>
    </w:p>
    <w:p>
      <w:r>
        <w:rPr>
          <w:b/>
        </w:rPr>
        <w:t>E. 4</w:t>
      </w:r>
    </w:p>
    <w:p>
      <w:r>
        <w:t>Le recourant soutient que l’intimé n’a droit à aucuns dépens, dès lors qu’il a plaidé sa propre cause par l’intermédiaire d’un collaborateur. Selon la doctrine, l’art. 95 CPC ne limite pas la prise en considération des frais de représentant au cas où ils étaient nécessaires. En conséquence, ni le juge ni le droit cantonal ne sauraient écarter la couverture de frais de mandataire professionnel réellement consentis par une partie et conforme aux règles ordinaires en la matière au motif que cette partie aurait pu plaider seule (Tappy, CPC commenté, 2011, n. 29 ad art. 95 CPC, p. 350). Sous l’empire de l’ancien droit de procédure cantonal, la Chambre des recours avait admis que l’intervention d’un mandataire professionnel au côté d’un avocat suffisait pour justifier un droit à des honoraires à titre de dépens, même si le mandataire était un collaborateur de l’étude, tout comme lorsque la partie est une personne morale dont l’avocat est l’organe (CREC I 27 mai 2010/280 et référence). En l’espèce, la requête de mesures superprovisionnelles et provisionnelles a été déposée par T.________, agent d’affaires breveté. Cela suffit au regard des considérations qui précèdent pour ouvrir le droit de l’intimé à des dépens, le recourant ne soutenant pas que celui-ci aurait abusé de ce droit en ayant en réalité établi lui-même lesdits actes. Le moyen doit être rejeté.</w:t>
      </w:r>
    </w:p>
    <w:p>
      <w:r>
        <w:rPr>
          <w:b/>
        </w:rPr>
        <w:t>E. 5</w:t>
      </w:r>
    </w:p>
    <w:p>
      <w:r>
        <w:t>En conclusion, le recours doit être rejeté selon le mode procédural de l’art. 322 al. 1 CPC et la décision confirmée. Vu le rejet du recours, les frais judiciaires de deuxième instance, arrêtés à 100 fr. (art. 69 et 70 al. 3 TFJC [tarif du 28 septembre 2010 des frais judiciaires civils ; RSV 270.11.5]), sont mis à la charge du recourant.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du recourant N.________. IV. L’arrêt motivé est exécutoire. Le président :               Le greffier : Du 21 août 2014 Le dispositif de l'arrêt qui précède est communiqué par écrit aux intéressés. Le greffier : Du L'arrêt qui précède, dont la rédaction a été approuvée à huis clos, est notifié en expédition complète, par l'envoi de photocopies, à : ‑ M. N.________, ‑ Mme T.________ (pour G.________).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