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73 vom 22. Januar 2014</w:t>
      </w:r>
    </w:p>
    <w:p>
      <w:r>
        <w:t>VD Tribunal cantonal, 2014-01-22, FR</w:t>
      </w:r>
    </w:p>
    <w:p>
      <w:r>
        <w:rPr>
          <w:b/>
        </w:rPr>
        <w:t xml:space="preserve">Quelle: </w:t>
      </w:r>
      <w:r>
        <w:t>https://mcp.opencaselaw.ch/entscheid/vd_findinfo_HC___2014___73</w:t>
      </w:r>
    </w:p>
    <w:p>
      <w:r>
        <w:t>FR: VD_FINDINFO HC / 2014 / 73 du 22 janvier 2014</w:t>
      </w:r>
    </w:p>
    <w:p>
      <w:r>
        <w:t>IT: VD_FINDINFO HC / 2014 / 73 del 22 gennaio 2014</w:t>
      </w:r>
    </w:p>
    <w:p>
      <w:pPr>
        <w:pStyle w:val="Heading2"/>
      </w:pPr>
      <w:r>
        <w:t>Regeste</w:t>
      </w:r>
    </w:p>
    <w:p>
      <w:r>
        <w:t>JUGEMENT DE DIVORCE, MODIFICATION DES CIRCONSTANCES, OBLIGATION D'ENTRETIEN, MESURE PROVISIONNELLE | 129 al. 1 CC, 261 al. 1 CPC (CH)</w:t>
      </w:r>
    </w:p>
    <w:p>
      <w:pPr>
        <w:pStyle w:val="Heading2"/>
      </w:pPr>
      <w:r>
        <w:t>Erwägungen</w:t>
      </w:r>
    </w:p>
    <w:p>
      <w:r>
        <w:rPr>
          <w:b/>
        </w:rPr>
        <w:t>E. 1</w:t>
      </w:r>
    </w:p>
    <w:p>
      <w:r>
        <w:t>CPC). L’appel est de la compétence du juge unique (art. 84 al. 2 LOJV [loi d’organisation judiciaire du 12 décembre 1979 ; RSV 173.01]). Formé en temps utile par une partie qui y a intérêt (art. 59 al. 2 let. a CPC) et portant sur des conclusions qui, dans leur dernier état devant le Tribunal de première instance et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L’appelant soutient qu’il souffre d’un trouble de santé invalidant qui l’empêche de travailler comme auparavant, que sa situation professionnelle a drastiquement changé et que ses revenus ont notablement et durablement diminué, de sorte qu’il ne doit plus aucune contribution d’entretien à son ex-épouse K.________. b) aa) Aux termes de l’art. 129 al. 1 CC (Code civil suisse du 10 décembre 1907 ; RS 210),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Le caractère notable de la modification se détermine in concreto , en fonction de chaque cas particulier, en comparant les situations avant et après le changement de circonstances (cf. sous l’ancien droit : ATF 118 II 229 c. 3a). Il importe de prendre en compte tous les facteurs susceptibles de provoquer une modification durable, à savoir non seulement la diminution de revenu mais également l’augmentation de charges, ces facteurs devant être appréciés globalement (CACI 26 avril 2012/95). Le changement doit par ailleurs être durable, soit probablement de durée illimitée (Pichonnaz, Commentaire romand, n o 34 ad art. 129 CC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 o 35 ad art. 129 CC et les auteurs cités). Le fait revêt un caractère nouveau lorsqu’il n’a pas été pris en considération pour fixer la contribution d’entretien dans le jugement de divorce. II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 TF 5A_93/2011 du 13 septembre 2011 c. 6.1 ; TF 5A_845/2010 du 12 avril 2011 c. 4.1). S’agissant du caractère « imprévisible », est déterminant le fait que, au moment de la fixation de la rente, le juge du divorce ou les parties ne pouvaient prendre en considération les conséquences concrètes de la modification des circonstances dans le calcul de la rente (ATF 131 III 189 c. 2.7.4 ; TF 5A_93/2011 du 13 septembre 2011 c. 6.1). Une fois la condition du fait nouveau remplie, le juge doit alors fixer la nouvelle contribution d’entretien, sur la base des critères de l’art. 125 CC, en faisant usage de son pouvoir d’appréciation (art. 4 CC ; ATF 127 III 136 c. 3a ; TF 5A_241/2010 du 9 novembre 2010 c. 4 ; TF 5C.112/2005 du 4 août 2005 c. 1, in FamPra.ch 2006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(ATF 138 III 289 c. 11.1.1). bb) Aux termes de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La suppression à titre provisionnel d’une contribution d’entretien dans le cadre d’une procédure de modification de jugement de divorce n’est admise que de façon restrictive, ne devant pas avoir pour effet de vider le procès au fond de son contenu (TF 5A_66/2011 du 7 juin 2011 c. 3.2 in fine), et présuppose une urgence et des circonstances particulières (ATF 118 Il 228 ; TF 5P.101/2005 du 12 août 2005 c. 3 ; TF 5P.226/2001 du 9 août 2001 c. 2a ; Tappy, Commentaire romand, n. 4 ad art. 137 CC ;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5P.226/2001 du 9 août 2001 c. 2a). Seules des circonstances spéciales peuvent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(ATF 118 lI 228 c. 3b et réf. citées). Il faut tenir compte non seulement des intérêts du débiteur d’entretien, demandeur au procès en modification, mais également de ceux du créancier d’entretien, défendeur au procès en modification (ATF 118 Il 228 c. 3b ; TF 5P.226/2001 du 9 août 2001 c. 2a ; TF 5P.101/1994 du 31 mai 1994 c. 5). L’on peut exiger du demandeur à une action en modification de jugement de divorce qu’il attende l’issue du procès et, jusque-là, s’acquitte des prestations mises à sa charge par une décision exécutoire : les droits accordés par cette décision à la partie adverse doivent être protégés et prévaloir sur les siens (ATF 118 Il 228 c. 3b et réf. citée). Des mesures provisionnelles dans un procès en modification ne peuvent ainsi être ordonnées que sur la base de circonstances de fait limpides, qui permettent d’évaluer de manière suffisamment fiable l’issue prévisible du procès au fond (TF 5P.415/2004 du 5 janvier 2005 c. 3.1 ; TF 5P.349/2001 du 6 novembre 2001 c. 4 et TF 5P.269/2004 du 3 novembre 2004 c.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 ATF 118 Il 378 c. 3b ; ATF 120 Il 393 c. 4c).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Bâle 2011, nn. 14 et 17 ad art. 261 CPC). Comme pour toutes les mesures provisionnelles, le juge doit pondérer le droit présumé du requérant à la mesure conservatoire avec les conséquences irréparables que celle-ci peut entraîner pour l’intimé (ATF 131 III 473 c. 2.3). c) Le grief de l’appelant selon lequel le premier juge n’aurait pas retenu que ses troubles de santé l’empêchent de travailler comme auparavant et par conséquent de maintenir ses revenus antérieurs, est infondé. Dans son écriture du 9 décembre 2013 (p. 10), l’appelant confirme les déclarations de son épouse lors de l’audience du 24 octobre 2013, selon lesquelles sa maladie s’est accentuée à fin 2011 pour être mise en évidence en janvier 2012. Ainsi, force est de constater que lorsqu’il a signé la convention arrêtant la pension de son ex-épouse K.________ en juin 2012, ainsi que la convention fixant la pension mensuelle de sa fille cadette C.V.________ en décembre 2012, l’appelant avait pleinement conscience de la nature et de l’importance de ses troubles et n’en a nullement fait état. Que celui-ci soutienne qu’il était « incapable de se rendre compte de la portée de ses engagements » à partir de janvier 2012 (cf. mémoire d’appel, p. 10), alors qu’il exerçait et exerce toujours la profession d’avocat spécialisé n’est pas convaincant. A cela s’ajoute le fait que le Dr G.________ ne mentionne pas une telle incapacité dans ses deux certificats médicaux des 3 mai et 16 septembre 2013. En outre, si l’appelant a été capable en 2012 de travailler à titre indépendant en réalisant un revenu de 20'000 fr. après six mois d’activité, au lieu de 25'944 fr. en qualité d’associé (cf. jugement de divorce du 24 août 2013), tout en étant, selon ses dires, poussé à la démission par ses associés (cf. mémoire d’appel, p. 6) et souffrant déjà du trouble de santé évoqué, on ne voit pas comment sa capacité de travailler s’en serait trouvée diminuée depuis qu’il a ouvert son propre cabinet à partir du 1 er décembre 2012. En effet, dès lors qu’il était désormais son propre patron et ne travaillait plus dans une grande structure exigeant discipline et rigidité comme le lui avait recommandé son médecin (cf. certificat médical du 3 mai 2013), il pouvait, comme il l’indique lui-même dans son mémoire d’appel (p. 5), travailler seul dans sa nouvelle structure familiale tout en gérant son temps et son suivi médical et en limitant son stress. Cela étant, on ne saurait considérer que la situation de l’appelant s’est notablement modifiée après le changement de circonstances, à savoir compte tenu de sa nouvelle activité indépendante et de son état de santé. On ne saurait davantage retenir une modification durable de la situation. En effet, il résulte du certificat médical du 16 septembre 2013 que les démarches thérapeutiques actuelles entreprises par l’appelant laissent espérer une évolution positive. On sait aussi que l’intéressé bénéficie non seulement de nouvelles conditions de travail adaptées à son état de santé, mais également plus favorables qu’auparavant puisqu’il travaille désormais pour son propre compte et peut organiser son temps et ses affaires comme il l’entend, sans pression de quelconques associés. Enfin, il ressort des extraits de comptabilité produits que les honoraires de l’appelant ont rapidement augmenté en quatre mois, passant de 126'333 fr. 20 de janvier à avril 2013, à 358'921 fr. 35 de janvier à août 2013. Tout porte à croire qu’en raison de sa longue expérience professionnelle de vingt ans et de ses compétences, l’appelant pourra encore augmenter ses revenus, sachant que les frais d’installation de son nouveau cabinet ont été effectués et que les coûts d’une petite structure sont moindres. Au demeurant, on notera que certains frais indiqués apparaissent exagérés pour une petite structure et portant sur seulement huit mois d’activité, à savoir les frais de représentation par 19'378 fr. 47, les frais de véhicule par 18'465 fr. 75, les frais d’internet par 15'517 fr. 83 et les frais de photocopies et informatique par 9'252 fr. 50. Enfin, l’appelant n’a pas allégué, ni rendu vraisemblable que le maintien de la contribution d’entretien pendant la durée du procès en modification risquait de lui causer un préjudice difficilement réparable et on ne discerne aucune urgence et circonstances particulières justifiant la suppression de la contribution d’entretien au stade des mesures provisionnelles.</w:t>
      </w:r>
    </w:p>
    <w:p>
      <w:r>
        <w:rPr>
          <w:b/>
        </w:rPr>
        <w:t>E. 4</w:t>
      </w:r>
    </w:p>
    <w:p>
      <w:r>
        <w:t>L’appelant soutient également que les revenus et la fortune de son ex-épouse sont suffisants pour ses besoins, de sorte qu’il n’y a pas lieu de lui verser une contribution d’entretien. Il résulte du jugement du 24 août 2012 qu’au moment du divorce, l’intimée réalisait des revenus mensuels de l’ordre de 3'900 €. Or, selon les allégués de l’intimée et les pièces produites par celle-ci en première instance, sa situation financière ne s’est aucunement améliorée depuis le jugement précité.</w:t>
      </w:r>
    </w:p>
    <w:p>
      <w:r>
        <w:rPr>
          <w:b/>
        </w:rPr>
        <w:t>E. 5</w:t>
      </w:r>
    </w:p>
    <w:p>
      <w:r>
        <w:t>Il s’ensuit que l’appel doit être rejeté en application de l’art. 312 al. 1 CPC et l’ordonnance entreprise confirmée. Les frais judiciaires de deuxième instance sont arrêtés à 600 fr. (art. 65 al. 2 TFJC [tarif des frais judiciaires civils du 28 septembre 2010 ; RSV 270.11.5]) et mis à la charge de l'appelant, qui succombe (art. 106 al. 1 CPC). N'ayant pas été invitée à se déterminer, l'intimée n’a pas droit à des dépens.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A.V.________. IV. L'arrêt motivé est exécutoire. La juge déléguée : La greffière : Du 22 janvier 2014 Le dispositif de l'arrêt qui précède est communiqué par écrit aux intéressés. La greffière : Du L'arrêt qui précède, dont la rédaction a été approuvée à huis clos, est notifié en expédition complète, par l'envoi de photocopies, à : ‑ Me Patricia Michellod (pour A.V.________) ‑ Me Alexandre Reil (pour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