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725 vom 18. September 2014</w:t>
      </w:r>
    </w:p>
    <w:p>
      <w:r>
        <w:t>VD Tribunal cantonal, 2014-09-18, FR</w:t>
      </w:r>
    </w:p>
    <w:p>
      <w:r>
        <w:rPr>
          <w:b/>
        </w:rPr>
        <w:t xml:space="preserve">Quelle: </w:t>
      </w:r>
      <w:r>
        <w:t>https://mcp.opencaselaw.ch/entscheid/vd_findinfo_HC___2014___725</w:t>
      </w:r>
    </w:p>
    <w:p>
      <w:r>
        <w:t>FR: VD_FINDINFO HC / 2014 / 725 du 18 septembre 2014</w:t>
      </w:r>
    </w:p>
    <w:p>
      <w:r>
        <w:t>IT: VD_FINDINFO HC / 2014 / 725 del 18 settembre 2014</w:t>
      </w:r>
    </w:p>
    <w:p>
      <w:pPr>
        <w:pStyle w:val="Heading2"/>
      </w:pPr>
      <w:r>
        <w:t>Regeste</w:t>
      </w:r>
    </w:p>
    <w:p>
      <w:r>
        <w:t>MESURE DE CONTRAINTE{DROIT DES ÉTRANGERS}, DÉTENTION AUX FINS D'EXPULSION | 76 al. 1 let. b LEtr, 80 al. 6 let. a LEtr</w:t>
      </w:r>
    </w:p>
    <w:p>
      <w:pPr>
        <w:pStyle w:val="Heading2"/>
      </w:pPr>
      <w:r>
        <w:t>Erwägungen</w:t>
      </w:r>
    </w:p>
    <w:p>
      <w:r>
        <w:rPr>
          <w:b/>
        </w:rPr>
        <w:t>E. 1</w:t>
      </w:r>
    </w:p>
    <w:p>
      <w:r>
        <w:t>LOJV [loi du 12 décembre 1979 d’organisation judiciaire ; RSV 173.01] et art. 18 al.</w:t>
      </w:r>
    </w:p>
    <w:p>
      <w:r>
        <w:rPr>
          <w:b/>
        </w:rPr>
        <w:t>E. 3</w:t>
      </w:r>
    </w:p>
    <w:p>
      <w:r>
        <w:t>a)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11 369 c. 3b/aa ; ATF 122 II 149, rés. in JT 1998 I 95). b) En l’espèce, la mise en détention en vue de renvoi du recourant est fondée sur l’art. 76 al. 1 let. b ch. 3 et 4 LEtr, dans la mesure où le recourant a démontré, par ses déclarations et son comportement, qu’il n’avait aucune intention de collaborer à son départ. En effet, il est demeuré en Suisse bien qu’il ait été averti qu’il n’y était pas autorisé à la suite d’une décision définitive et exécutoire de l’ODM du 5 juin 2014 rejetant sa demande de reconsidération. Il n’a aucune attache en Suisse et n’a pas pu être interpellé par la police au Centre EVAM. Enfin, il a systématiquement déclaré aux autorités qu’il refusait catégoriquement de quitter la Suisse. La mise en détention est ainsi fondée.</w:t>
      </w:r>
    </w:p>
    <w:p>
      <w:r>
        <w:rPr>
          <w:b/>
        </w:rPr>
        <w:t>E. 4</w:t>
      </w:r>
    </w:p>
    <w:p>
      <w:r>
        <w:t>Le recourant invoque l’application de l’art. 80 al. 6 LEtr considérant son état de santé. Il requiert la production de deux pièces, à savoir le rapport médical sur les conditions de sa détention, son état de santé et la compatibilité de celui-ci avec la détention, en mains du service médical de l’Etablissement Favra, ainsi que le rapport médical sur son état de santé, en mains du service médical de la [...]. a) Selon l'art. 80 al. 6 let. a LEtr, la détention est levée lorsque le motif de détention n'existe plus ou l'exécution du renvoi ou de l'expulsion s'avère impossible pour des raisons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2C_35/2009 du 13 février 2009 c. 6.2 ; TF 2C_445/2007 du 30 octobre 2007 c. 4.2 ; TF 2A_47/2007 du 18 avril 2007 c. 2.3). b) En l’espèce, contrairement à ce que soutient le recourant, son état de santé ne constitue pas un motif d’impossibilité de renvoi au sens de l’art. 80 al. 6 let. a LEtr. L’état de santé du recourant, allégué pour la première fois en procédure de recours, n’est étayé par aucun autre élément au dossier. Il ne constitue pas un obstacle à la détention à l’Etablissement Favra, ni a fortiori à l’établissement Curabilis dans lequel il se trouverait actuellement et où il peut, le cas échéant, bénéficier d’une prise en charge médicale. Il ne s’agit pas non plus d’un obstacle à l’exécution du renvoi, dans la mesure où les soins pourront, le cas échéant, être dispensés dans le pays d’origine. Ce grief doit donc être rejeté. Il n’y a dès lors pas lieu de donner suite à la réquisition de production de pièces du recourant, celui-ci ayant du reste produit spontanément deux pièces concernant son état de santé.</w:t>
      </w:r>
    </w:p>
    <w:p>
      <w:r>
        <w:rPr>
          <w:b/>
        </w:rPr>
        <w:t>E. 5</w:t>
      </w:r>
    </w:p>
    <w:p>
      <w:r>
        <w:t>On peut encore relever que le principe de proportionnalité est respecté, dès lors que le refoulement du recourant pourra manifestement être exécuté avant l’échéance du délai maximal de détention de dix-huit mois prévu par la loi.</w:t>
      </w:r>
    </w:p>
    <w:p>
      <w:r>
        <w:rPr>
          <w:b/>
        </w:rPr>
        <w:t>E. 6</w:t>
      </w:r>
    </w:p>
    <w:p>
      <w:r>
        <w:t>Au vu de ce qui précède, le recours doit être rejeté et l’ordonnance entreprise confirmée. L’arrêt peut être rendu sans frais (art. 50 LPA-VD [loi sur la procédure administrative du 28 octobre 2008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l’avocate Marion Eimann a produit une liste d’opérations faisant état de 13 heures et 10 minutes, sans débours, ce qui paraît excessif vu l’ampleur de la cause. On retiendra qu’un maximum de six heures était suffisant pour assurer une correcte exécution du mandat d’office. Au demeurant, les heures facturées pour un déplacement (en l’espèce deux heures) n’ont pas à être rémunérées dans leur intégralité (CREC 2 octobre 2012/344) de sorte qu’un forfait de 120 fr. sera retenu conformément à la jurisprudence (JT 2013 III 3). Compte tenu d’un tarif horaire de 180 fr., l’indemnité doit être fixée à 1'350 fr., soit 1'296 fr. d’honoraires, TVA comprise, et 54 fr. de débours, TVA comprise. Par ces motifs, la Chambre des recours civile du Tribunal cantonal, statuant à huis clos, prononce : I. Le recours est rejeté. II. L’ordonnance est confirmée. III. L’arrêt est rendu sans frais judiciaires. IV. L’indemnité de Me Marion Eimann, conseil d’office du recourant, est arrêtée à 1'350 fr. (mille trois cent cinquante francs), TVA comprise. V. L’arrêt motivé est exécutoire. Le président :               Le greffier : Du 19 septembre 2014 Le dispositif de l'arrêt qui précède est communiqué par écrit aux intéressés. Le greffier : Du L'arrêt qui précède, dont la rédaction a été approuvée à huis clos, est notifié en expédition complète, par l'envoi de photocopies, à : ‑ Mme Marion Eimann, avocate (pour I.________),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