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716 vom 28. August 2014</w:t>
      </w:r>
    </w:p>
    <w:p>
      <w:r>
        <w:t>VD Tribunal cantonal, 2014-08-28, FR</w:t>
      </w:r>
    </w:p>
    <w:p>
      <w:r>
        <w:rPr>
          <w:b/>
        </w:rPr>
        <w:t xml:space="preserve">Quelle: </w:t>
      </w:r>
      <w:r>
        <w:t>https://mcp.opencaselaw.ch/entscheid/vd_findinfo_HC___2014___716</w:t>
      </w:r>
    </w:p>
    <w:p>
      <w:r>
        <w:t>FR: VD_FINDINFO HC / 2014 / 716 du 28 août 2014</w:t>
      </w:r>
    </w:p>
    <w:p>
      <w:r>
        <w:t>IT: VD_FINDINFO HC / 2014 / 716 del 28 agosto 2014</w:t>
      </w:r>
    </w:p>
    <w:p>
      <w:pPr>
        <w:pStyle w:val="Heading2"/>
      </w:pPr>
      <w:r>
        <w:t>Regeste</w:t>
      </w:r>
    </w:p>
    <w:p>
      <w:r>
        <w:t>DOMMAGE IRRÉPARABLE, EXPERTISE, ACTION EN DIVORCE | 319 let. b ch. 2 CPC (CH)</w:t>
      </w:r>
    </w:p>
    <w:p>
      <w:pPr>
        <w:pStyle w:val="Heading2"/>
      </w:pPr>
      <w:r>
        <w:t>Erwägungen</w:t>
      </w:r>
    </w:p>
    <w:p>
      <w:r>
        <w:rPr>
          <w:b/>
        </w:rPr>
        <w:t>E. 1</w:t>
      </w:r>
    </w:p>
    <w:p>
      <w:r>
        <w:t>a) L'art. 319 CPC (Code de procédure civile du 19 décembre 2008 ; RS 272) prévoit que le recours est recevable contre les décisions finales, incidentes et provisionnelles de première instance qui ne peuvent faire l'objet d'un appel (let. a), et contre les autres décisions et ordonnances d'instruction de première instance dans les cas prévus par la loi (let. b ch. 1) ou lorsqu'elles peuvent causer un préjudice difficilement réparable (let. b ch. 2). Le recours est également ouvert pour retard injustifié du tribunal (art. 319 let. c CPC). Contrairement aux cas où le recours est expressément prévu par la loi, notamment à l'art. 110 CPC, qui instaure un recours séparé en matière de frais, le Code de procédure civile ne prévoit pas une telle voie contre l'ordonnance de preuves (art. 154 CPC), qui constitue une ordonnance d'instruction (Jeandin, CPC Commenté, 2011, n. 14 ad art. 319, p. 1272). La recevabilité du recours contre un tel acte est donc subordonnée à l'existence d'un préjudice difficilement réparable au regard de l'art. 319 let. b ch. 2 CPC (JT 2011 III 86 c. 3). Selon la jurisprudence de la Cour de céans, la notion de préjudice difficilement réparable est plus large que celle de dommage irréparable de l'art. 93 al. 1 let. a LTF (Loi du 17 juin 2005 sur le Tribunal fédéral; RS 173.110), puisqu'elle devrait viser également les désavantages de fait (JT 2011 III 86 c. 3 et références; CREC 20 avril 2012/148). La question de savoir s'il existe un préjudice difficilement réparable s'apprécie par rapport aux effets de la décision incidente sur la cause principale, respectivement la procédure principale (ATF 137 III 380 c. 1.2.2 ; voir aussi TF 4A_560/2011 du 11 janvier 2012 c. 2.2). Ainsi, l'art. 319 let. b ch. 2 CPC ne vise pas seulement un inconvénient de nature juridique, imminent, mais toute incidence dommageable, y compris financière ou temporelle, pourvu qu'elle soit difficilement réparable; tel est le cas notamment lorsque la réparation financière est inadéquate pour réparer intégralement le préjudice ou que celui-ci est difficile à établir ou chiffrer. Il y a toutefois lieu de se montrer exigeant, voire restrictif, avant d'admettre la réalisation de cette condition, sous peine d'ouvrir le recours à toute décision ou ordonnance d'instruction, ce que le législateur a clairement exclu (Jeandin, op. cit., n. 22 ad art. 319 CPC, p. 1274 et références; CREC 22 mars 2012/117). En outre, un préjudice irréparable de nature juridique ne doit pas pouvoir être ultérieurement réparé ou entièrement réparé par une décision finale favorable au recourant (ATF 134 III 188 c. 2.1 et c. 2.2). La condition du préjudice difficilement réparable est ainsi réalisée dans des circonstances particulières, par exemple dans le cas où l'ordonnance porterait sur l'audition de vingt-cinq témoins, dont une dizaine par voie de commission rogatoire en vue d'instruire sur un fait mineur et, de surcroît, dans un pays connu pour sa lenteur en matière d'entraide (Jeandin, op. cit., n. 23 ad art. 319 CPC) ou dans le cas de la mise en œuvre d'une expertise qui pourrait causer une augmentation importante des frais de la procédure (Blickenstorfer, Schweizerische Zivilprozessordnung, Brunner/Gasser/ Schwander Hrsg, 2011, n. 39 ad art. 319 CPC, p. 1815; CREC 27 juin 2012/234). En revanche, le seul fait que la partie ne puisse se plaindre d’une administration des preuves contraire à la loi qu’à l’occasion d’un recours sur le fond n’est pas suffisant pour retenir que la décision attaquée est susceptible de lui causer un préjudice difficilement réparable. Admettre le contraire reviendrait en effet à permettre au plaideur de contester immédiatement toute mesure d’instruction pouvant avoir un effet sur le sort de la cause, ce que le législateur a précisément voulu éviter (CREC 23 février 2012/80 c. 2b). b) Le recourant fait valoir que la décision de maintenir le rapport d’expertise au dossier lui causerait un préjudice irréparable, en ce sens qu’elle laisserait le notaire chargé de la liquidation du régime matrimonial des parties se fonder sur ce document pour exécuter son mandat, qu’ainsi toute la procédure de divorce se baserait désormais sur ce rapport d’expertise et qu’un recours ultérieur ne permettrait, en aucune façon, de réparer le préjudice subi. Sur le fond, le recourant soutient que l’expertise aurait été réalisée en violation du droit d’être entendu et des règles procédurales en matière d’expertise. Il relève en particulier que le rapport d’expertise aurait été rendu sans qu’il n’ait pu, malgré sa demande expresse, participer à la visite des lieux et sans qu’il ne sache si la partie adverse avait présenté toutes les pièces utiles à l’expert. En outre, il fait valoir qu’I.________ n’aurait pas procédé à l’expertise personnellement et qu’il aurait fait appel à un expert formellement récusé en cours de la procédure. c) En l’occurrence, l’expertise a pour objet l’estimation de la villa familiale. Comme on l’a vu ci-dessus, le seul fait que la partie ne puisse se plaindre d’une administration des preuves contraire à la loi qu’à l’occasion d’un recours sur le fond n’est pas suffisant pour retenir que la décision attaquée est susceptible de lui causer un préjudice difficilement réparable. Or, mis à part l’argument fondé sur le maintien du rapport au dossier tout au long de la procédure, le recourant n’avance aucune circonstance particulière propre à établir dans le cas d’espèce l’existence d’un préjudice difficilement réparable au sens de l’art. 319 let. b CPC, alors qu’il lui appartenait précisément de démontrer un tel préjudice. Dans ces circonstances, il y a lieu de considérer que la condition du préjudice difficilement réparable n’est pas réalisée, de sorte que le recours est irrecevable. Par surabondance, on observera, s’agissant du fait que l’expertise ait été cosignée par [...], que l’on ne dispose d’aucune décision de récusation à son encontre, le mandataire du recourant s’étant contenté, par courriel du 20 décembre 2013 adressé à Me P.________ avec copie au mandataire adverse – et non pas au juge – d’exprimer son refus face à une désignation de [...] en qualité d’expert. En outre, il paraît douteux que l’on puisse voir une violation du droit d’être entendu du recourant dans le fait de n’avoir pas été entendu par l’expert, dès lors que le CPC ne semble pas exiger que les parties soient entendues personnellement par l’expert, ce qui peut toutefois rester en l’état à ce stade.</w:t>
      </w:r>
    </w:p>
    <w:p>
      <w:r>
        <w:rPr>
          <w:b/>
        </w:rPr>
        <w:t>E. 2</w:t>
      </w:r>
    </w:p>
    <w:p>
      <w:r>
        <w:t>Vu l’irrecevabilité du recours, les frais judiciaires de deuxième instance, fixés à 1'000 fr. (art. 69 et 70 al. 2 TFJC [tarif du 28 septembre 2010 des frais judiciaires civils ; RSV 270.11.5]), doivent être mis à la charge du recourant (art. 106 al. 1 CPC). Le recourant versera en outre à l’intimée des dépens de deuxième instance arrêtés à 1'500 fr. (art. 9 al. 2 TDC [tarif des dépens en matière civile du 23 novembre 2010, RSV 270.11.6]). Par ces motifs, la Chambre des recours civile du Tribunal cantonal, statuant à huis clos, en application de l'art. 322 al. 1 CPC, prononce : I. Le recours est irrecevable. II. Les frais judiciaires de deuxième instance, arrêtés à 1'000 fr. (mille francs), sont mis à la charge du recourant D.________. III. Le recourant D.________ doit verser à l’intimée U.________ la somme de 1'500 fr. (mille cinq cents francs) à titre de dépens de deuxième instance. IV. L’arrêt est exécutoire. Le président :               La greffière : Du L'arrêt qui précède, dont la rédaction a été approuvée à huis clos, est notifié à : ‑ Me David Erard (pour D.________), ‑ Me Claire-Lise Oswald (pour U.________).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