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715 vom 11. Juli 2014</w:t>
      </w:r>
    </w:p>
    <w:p>
      <w:r>
        <w:t>VD Tribunal cantonal, 2014-07-11, FR</w:t>
      </w:r>
    </w:p>
    <w:p>
      <w:r>
        <w:rPr>
          <w:b/>
        </w:rPr>
        <w:t xml:space="preserve">Quelle: </w:t>
      </w:r>
      <w:r>
        <w:t>https://mcp.opencaselaw.ch/entscheid/vd_findinfo_HC___2014___715</w:t>
      </w:r>
    </w:p>
    <w:p>
      <w:r>
        <w:t>FR: VD_FINDINFO HC / 2014 / 715 du 11 juillet 2014</w:t>
      </w:r>
    </w:p>
    <w:p>
      <w:r>
        <w:t>IT: VD_FINDINFO HC / 2014 / 715 del 11 luglio 2014</w:t>
      </w:r>
    </w:p>
    <w:p>
      <w:pPr>
        <w:pStyle w:val="Heading2"/>
      </w:pPr>
      <w:r>
        <w:t>Regeste</w:t>
      </w:r>
    </w:p>
    <w:p>
      <w:r>
        <w:t>VENTE, ENCHÈRES, AUTOMOBILE | 8 CC, 320 CPC (CH), 320 let. b CPC (CH)</w:t>
      </w:r>
    </w:p>
    <w:p>
      <w:pPr>
        <w:pStyle w:val="Heading2"/>
      </w:pPr>
      <w:r>
        <w:t>Erwägungen</w:t>
      </w:r>
    </w:p>
    <w:p>
      <w:r>
        <w:rPr>
          <w:b/>
        </w:rPr>
        <w:t>E. 1</w:t>
      </w:r>
    </w:p>
    <w:p>
      <w:r>
        <w:t>a) L’art. 319 let. a CPC (Code de procédure civile du 19 décembre 2008, RS 272) ouvre la voie du recours contre les décisions finales de première instance pour lesquelles la valeur litigieuse est inférieure à 10'000 fr. (art. 308 al. 2 CPC). b) Le recours doit notamment contenir des conclusions, en annulation ou au fond, soit l’exposé de ce que la partie veut que le tribunal lui alloue dans sa décision (Tappy, CPC commenté, Bâle 2011, n. 11 ad art. 221 CPC).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du 2 juin 2014/190; Jeandin, CPC commenté, Bâle 2011,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rés. in SJ 2012 I 373, c. 4.3 et 4.4 et les références citées). Par ailleurs,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 juin 2014/190 et les réf. citées; Jeandin, op. cit., n. 4 ad art. 321 CPC, et n. 5 ad art. 311 CPC par analogie). c) En l’espèce, on peut se demander si le recours est recevable, le recourant A.________ se bornant dans son courrier du 23 janvier 2014 à demander que l’intimé Z.________ soit débouté en raison de la compensation invoquée et ne s’exprimant pas de façon précise au sujet d’une réforme de chacun des sept chiffres du dispositif du jugement entrepris. Cette question peut toutefois demeurer indécise puisqu’à supposer recevable, le recours devrait être rejeté pour les motifs qui suivent.</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3</w:t>
      </w:r>
    </w:p>
    <w:p>
      <w:r>
        <w:t>Le recourant, qui admet avoir acquis le véhicule de l’intimé pour un prix de 3'600 fr., prétend que ce montant doit être compensé avec des frais de gardiennage, de déplacement et de réparation. A cet égard, le recourant se borne à exposer sa propre version des faits, sans tenter de démontrer en quoi ceux-ci auraient été retenus de façon arbitraire par le premier juge. Avec celui-ci, il faut constater que de tels frais ne sont pas établis. Si le contrat de mandat signé par l’intimé le 11 mai 2011 prévoyait que le véhicule invendu devait être « retiré au plus tard jusqu’au jeudi 26 mai 2011, le cas échéant occasionnerait des frais de déplacement et de gardiennage », on ne peut déduire de cette formulation un accord des parties au sujet du principe de ces frais, compte tenu de l’expression « le cas échéant », respectivement au sujet de leur montant. Quant à un accord au sujet de frais de réparation, il n’est pas non plus établi.</w:t>
      </w:r>
    </w:p>
    <w:p>
      <w:r>
        <w:rPr>
          <w:b/>
        </w:rPr>
        <w:t>E. 4</w:t>
      </w:r>
    </w:p>
    <w:p>
      <w:r>
        <w:t>Il résulte de ce qui précède que le recours, manifestement infondé, doit être rejeté selon le mode procédural de l’art. 322 al. 1 CPC et la décision entreprise confirmée. Les frais judiciaires de deuxième instance, arrêtés à 200 fr. (art. 69 al. 1 TFJC [tarif des frais judiciaires en matière civile du 28 septembre 2010 ; RSV 270.11.5]), sont mis à la charge du recourant, qui succombe (art. 106 al. 1 CPC). L’intimé n’ayant pas été invité à se déterminer sur le recours, il n’y a pas lieu de lui allouer de dépens de deuxième instance.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du recourant A.________. IV. L’arrêt motivé est exécutoire. Le président :               La greffière : Du 11 juillet 2014 Le dispositif de l'arrêt qui précède est communiqué par écrit aux intéressés. La greffière : Du L'arrêt qui précède, dont la rédaction a été approuvée à huis clos, est notifié en expédition complète, par l'envoi de photocopies, à : ‑ M. A.________, - Me Nicolas Candaux (pour Z.________), - M.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