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698 vom 16. Juni 2014</w:t>
      </w:r>
    </w:p>
    <w:p>
      <w:r>
        <w:t>VD Tribunal cantonal, 2014-06-16, FR</w:t>
      </w:r>
    </w:p>
    <w:p>
      <w:r>
        <w:rPr>
          <w:b/>
        </w:rPr>
        <w:t xml:space="preserve">Quelle: </w:t>
      </w:r>
      <w:r>
        <w:t>https://mcp.opencaselaw.ch/entscheid/vd_findinfo_HC___2014___698</w:t>
      </w:r>
    </w:p>
    <w:p>
      <w:r>
        <w:t>FR: VD_FINDINFO HC / 2014 / 698 du 16 juin 2014</w:t>
      </w:r>
    </w:p>
    <w:p>
      <w:r>
        <w:t>IT: VD_FINDINFO HC / 2014 / 698 del 16 giugno 2014</w:t>
      </w:r>
    </w:p>
    <w:p>
      <w:pPr>
        <w:pStyle w:val="Heading2"/>
      </w:pPr>
      <w:r>
        <w:t>Regeste</w:t>
      </w:r>
    </w:p>
    <w:p>
      <w:r>
        <w:t>ACTION EN DIVORCE, OBLIGATION D'ENTRETIEN, PERSONNE DIVORCÉE | 125 al. 1 CC, 125 al. 2 CC, 125 CC</w:t>
      </w:r>
    </w:p>
    <w:p>
      <w:pPr>
        <w:pStyle w:val="Heading2"/>
      </w:pPr>
      <w:r>
        <w:t>Erwägungen</w:t>
      </w:r>
    </w:p>
    <w:p>
      <w:r>
        <w:rPr>
          <w:b/>
        </w:rPr>
        <w:t>E. 1</w:t>
      </w:r>
    </w:p>
    <w:p>
      <w:r>
        <w:t>a)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b) En l’espèce, l’appel, formé en temps utile, par une partie qui y a intérêt (art. 59 al. 2 let. a CPC), contre une décision finale de première instance portant sur des conclusions qui, capitalisées selon l’art. 92 al. 1 CPC, sont supérieures à 10’000 fr.,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b) En l’espèce, l’appelant a produit deux pièces à l’appui de son appel, à savoir un contrat de travail du 10 décembre 2013 et une attestation du 10 février 2014, selon laquelle il suit un traitement de psychothérapie depuis janvier 2014 à raison de deux séances mensuelle. Il a également produit, à l’appui de sa réplique, plusieurs pièces qui indiquent notamment que le cabinet de l’intimée est ouvert lundi, mardi et jeudi toute la journée, mercredi et vendredi à la demi-journée ainsi qu’un samedi par mois. L’intimée a pour sa part produit trois pièces, attestant du fait que son bailleur a refusé qu’elle exerce une activité professionnelle dans son logement, ainsi que du fait qu’elle a dû louer un local commercial pour un loyer mensuel de 550 fr. dès le 1 er avril 2014. Ces pièces sont recevables dès lors qu’elles portent sur des faits postérieurs à l’audience de jugement du 30 septembre 2013. Les faits nouveaux qui ressortent de ces pièces ont été intégrés à l’état de fait du présent arrêt.</w:t>
      </w:r>
    </w:p>
    <w:p>
      <w:r>
        <w:rPr>
          <w:b/>
        </w:rPr>
        <w:t>E. 3</w:t>
      </w:r>
    </w:p>
    <w:p>
      <w:r>
        <w:t>a) Seule est litigieuse en l’espèce la contribution d’entretien après divorce due à l’intimée. Alors que les premiers juges ont astreint l’appelant à payer une pension mensuelle de 2'000 fr. jusqu’à ce que le cadet des enfants ait atteint l’âge de 10 ans révolus, puis de 950 fr. jusqu’à ce que le cadet des enfants ait atteint l’âge de 16 ans révolus, l’appelant soutient que cette pension aurait dû être fixée à 500 fr. jusqu’à ce que le cadet des enfants ait atteint l’âge de 14 ans révolus.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La loi n'impose pas de méthode particulière s'agissant du calcul de la contribution d'entretien. La détermination de celle-ci relève du pouvoir d'appréciation du juge, qui applique les règles du droit et de l'équité (TF 5C.222/2000 du 25 janvier 2001 c. 3a). Cela étant,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 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En pratique, l'obligation d'entretien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102 c. 4.2.1; ATF 134 III 145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w:t>
      </w:r>
    </w:p>
    <w:p>
      <w:r>
        <w:rPr>
          <w:b/>
        </w:rPr>
        <w:t>E. 4</w:t>
      </w:r>
    </w:p>
    <w:p>
      <w:r>
        <w:t>a) Les premiers juges ont retenu que le salaire mensuel net de l’appelant s’élevait à 8’360 fr. 90 sur huit mois en 2013, part du treizième salaire et bonus inclus, selon décomptes de salaire des mois de janvier à août 2013, allocations familiales par 400 fr. non comprises ; ils ont précisé que le mari avait allégué que son revenu mensuel devrait passer à 7’800 fr. net par mois dès le mois de décembre 2013, mais qu’aucun avenant au contrat de travail n’avait été produit au dossier, de sorte que, comme on ne savait pas quand cette modification aurait lieu, il convenait de se baser sur le revenu effectivement perçu jusqu’à présent. Depuis le 1 er février 2014, son salaire mensuel net s’élève toutefois à environ 7'990 fr., bonus compris, la teneur du contrat laissant apparaître qu’en principe celui-ci est versé à hauteur 7% de son salaire de base annuel brut. L’appelant a justifié son changement de statut par le fait que son nouveau poste était plus stable et disposait d’horaires plus réguliers que le précédent. Dès lors que de tels motifs  paraissent légitimes et que le revenu de l’appelant a diminué dans une mesure que l’on peut qualifier de raisonnable, il y a lieu de tenir compte de ce nouveau salaire pour le calcul de la pension. L’intimée ne saurait donc être suivie sur ce point. b) L’appelant soutient en outre qu’il y aurait lieu de tenir compte dans le calcul de ses charges incompressibles d’un poste pour les imprévus correspondant à 20% du montant de base, soit 240 fr., ainsi que de montants mensuels de respectivement 25 fr. et 58 fr. 55 (correspondant à la franchise et à la quote-part de l’assurance-maladie) pour son suivi psychothérapeutique. Si l’on peut admettre un montant de base élargi, la nécessité et la réalité de frais médicaux liés à sa psychothérapie ne sont pas établis ; il a d’ailleurs été pris en compte des primes d’assurance-maladie obligatoire 2014 avec la franchise minimale de 300 francs. Les charges mensuelles de l’appelant comprennent ainsi le minimum vital par 1'440 fr. (1'200 fr. + 20%), le droit de visite par 100 fr., son loyer (y compris le garage) par 1'750 fr., sa prime d’assurance-maladie obligatoire par 324 fr. 20, ses frais de repas par 180 fr. et ses frais de transport par 40 francs. Il s’ensuit que l’appelant, avec un revenu net de l’ordre de 7'990 fr. par mois et des charges mensuelles à hauteur de 3'834 fr., a un disponible de l’ordre de 4'156 fr. par mois.</w:t>
      </w:r>
    </w:p>
    <w:p>
      <w:r>
        <w:rPr>
          <w:b/>
        </w:rPr>
        <w:t>E. 5</w:t>
      </w:r>
    </w:p>
    <w:p>
      <w:r>
        <w:t>a) Les premiers juges ont retenu que l’intimée parvenait, en exploitant à titre d’indépendante un salon d’esthéticienne et de massage, à réaliser un revenu mensuel de l’ordre de 450 fr. par mois et que, comme ses charges mensuelles totalisaient 2’449 fr., son budget présentait un déficit de 2’000 fr. par mois. Ils ont considéré qu’il n’y avait pas de raison de déroger à la jurisprudence en exigeant d’elle qu’elle travaille dès à présent à 50% alors que le cadet des enfants n’avait pas encore atteint l’âge de 10 ans. L’appelant soutient pour sa part que dans la mesure où l’intimée n’a jamais cessé de travailler pendant le mariage, où un système de garde des deux enfants par une garderie est mis en place et où l’intimée a, dès la séparation effective des parties, effectué nombre de recherches d’emplois où elle annonçait une disponibilité de 50%, il y aurait lieu de lui imputer un revenu hypothétique de l’ordre de 1'800 fr., compte tenu de ce qu’elle réalise des revenus mensuels nets de 450 fr. pour un taux d’activité déclaré de 10 à 15% (450 fr. à 12.5% = 1'800 fr. à 50%). b) Ce grief est partiellement fondé. En effet, si, selon la jurisprudence, on ne peut en principe exiger d'un époux la prise ou la reprise d'une activité lucrative à un taux de 50% avant que le plus jeune des enfants n'ait atteint l'âge de 10 ans révolus, et de 100% avant qu'il n'ait atteint l'âge de 16 ans révolus, il ne s’agit là que de lignes directrices, et non de règles strictes; leur application dépend des circonstances du cas concret ; ainsi, une activité lucrative apparaît exigible lorsqu'elle a déjà été exercée durant la vie conjugale ou si l'enfant est gardé par un tiers, de sorte que le détenteur de l'autorité parentale, respectivement de la garde, n'est pas empêché de travailler pour cette raison (cf. c. 3b supra). Or en l’espèce, il ressort du dossier que l’intimée exerce la profession d’esthéticienne indépendante à un taux d’occupation de l’ordre de 10 à 15%. Cela étant, force est de constater que l’intimée a cherché des emplois salariés sur la base d’une disponibilité de 50%, que les horaires d’ouverture actuels de son cabinet tels qu’ils figurent sur internet laissent apparaître une grande disponibilité de sa part et que les enfants vont à l’école et sont pris en charge à midi dans une structure d’accueil à raison de trois jours par semaine. Dans ces conditions, on peut raisonnablement exiger d’elle que, pour pourvoir elle-même à son entretien convenable, elle augmente d’ores et déjà son taux d’activité d’esthéticienne indépendante pour le porter à 50% – si cela n’est pas déjà fait –, ce qui lui permettrait de réaliser un revenu mensuel net de l’ordre de 1’800 fr. (450 fr. x 50/ 12,5). On réduira toutefois ce montant de son nouveau loyer qui vient s’ajouter aux charges de son entreprise à hauteur de 550 francs. On peut donc lui imputer un revenu net de l’ordre de 1’250 fr. par mois.</w:t>
      </w:r>
    </w:p>
    <w:p>
      <w:r>
        <w:rPr>
          <w:b/>
        </w:rPr>
        <w:t>E. 6</w:t>
      </w:r>
    </w:p>
    <w:p>
      <w:r>
        <w:t>L’appelant soutient qu’il y aurait lieu de prendre en compte le montant des allocations familiales – qui s’élèvent pour les deux enfants à 400 fr. (2 x 200 fr.) jusqu’en 2013 et à 460 fr. (2 x 230 fr.) dès le 1 er janvier 2014 – dans les revenus de l’intimée dans le cadre de la fixation de la contribution d’entretien. Ce grief est infondé. Si, selon la jurisprudence, il y a bien lieu de tenir compte des montants reçus à titre d’allocations familiales dans le calcul du montant nécessaire à la couverture de l’entretien de l’enfant, étant précisé que sauf décision contraire du juge, les allocations pour enfants doivent être versées en sus de la contribution d’entretien (art. 285 al. 2 CC), tel a été le cas en l’espèce, où les parties ont arrêté d’un commun accord le montant des contributions d’entretien pour les deux enfants en précisant que les allocations familiales étaient dues en sus. Ces allocations familiales étant destinées à couvrir les besoins des enfants, elles n’ont pas à être prises en compte dans les revenus de la mère destinés à couvrir son propre entretien.</w:t>
      </w:r>
    </w:p>
    <w:p>
      <w:r>
        <w:rPr>
          <w:b/>
        </w:rPr>
        <w:t>E. 7</w:t>
      </w:r>
    </w:p>
    <w:p>
      <w:r>
        <w:t>En définitive, il apparaît qu’au regard d’un revenu mensuel net de l’ordre de 1'250 fr., lequel est raisonnablement exigible sans attendre que le cadet des enfants ait atteint l’âge de 10 ans, et de charges propres totalisant quelque 2'450 fr. par mois, l’intimée présente un déficit de quelque 1’200 fr. par mois. Les premiers juges, en faisant primer le principe du clean-break sur le principe de solidarité, n’ont pas fait application de la méthode dite du minimum vital avec répartition de l'excédent, de sorte que la contribution d’entretien qu’ils ont fixée se limite à couvrir le déficit de l’intimée. Ce point n’ayant pas été remis en cause par cette dernière dans la procédure d’appel, il n’y a pas lieu de revenir ici sur cet élément du jugement. On relève toutefois que le jeune âge de l’intimée (33 ans) et le fait qu’elle ne s’est jamais éloignée du monde du travail peuvent tout à fait justifier une telle solution. La contribution d’entretien due doit ainsi être fixée à 1’200 fr. par mois jusqu’à ce que le plus jeune des enfants ait atteint l’âge de 16 ans ; à partir de ce moment-là, la contribution d’entretien peut être supprimée, l’intimée devant pouvoir travailler à 100% et subvenir seule à ses propres besoins. On relèvera encore que le paiement par l’appelant d’une contribution d’entretien à l’intimée de 1’200 fr. par mois n’entame pas son minimum vital. En effet, comme on l’a vu (cf. c. 3b supra), l’appelant, avec un revenu net de l’ordre de 7'990 fr. par mois et un minimum vital élargi de 3'834 fr., a un disponible de l’ordre de 4'150 fr. par mois, qui lui permet de s’acquitter des contributions d’entretien mises à sa charge (975 fr. + 975 fr. + 1’200 fr. = 3’150 fr.) en conservant un solde positif de quelque 1'000 fr. par mois.</w:t>
      </w:r>
    </w:p>
    <w:p>
      <w:r>
        <w:rPr>
          <w:b/>
        </w:rPr>
        <w:t>E. 8</w:t>
      </w:r>
    </w:p>
    <w:p>
      <w:r>
        <w:t>a) Il résulte de ce qui précède que l’appel du demandeur doit être partiellement admis et le jugement attaqué réformé au chiffre IV de son dispositif en ce sens que A.C.________ contribuera à l’entretien de F.C.________ par le régulier versement d’une pension de 1’200 fr., payable d’avance le premier de chaque mois en mains de la bénéficiaire, dès le jugement définitif et exécutoire et jusqu’à ce que le cadet des enfants ait atteint l’âge de 16 ans révolus. b) Vu l’issue du litige, les frais judiciaires de deuxième instance, fixés à 600 fr. (art. 63 al. 1 TFJC), seront répartis par moitié entre les parties, mais laissés à la charge de l’Etat au vu de l’octroi de l’assistance judiciaire, et les dépens de deuxième instance pourront être compensés. c) Sur le vu de la listes des opérations et débours produite, Me Mireille Loroch, conseil d’office de l’appelant, a droit à une indemnité de 1'998 fr., comprenant un défraiement de 1'800 fr. plus 144 fr. de TVA et le remboursement de ses débours par 50 fr. plus 4 fr. de TVA (art. 2 et 3 RAJ [Règlement sur l'assistance judiciaire en matière civile ; RSV 211.02.3]). d) Sur le vu de la listes des opérations et débours produite, Me Gilles Davoine, conseil d’office de l’intimée, a droit à une indemnité de 1’900 fr. 80, comprenant un défraiement de 1’710 fr. plus 136 fr. 80 de TVA et le remboursement de ses débours par 50 fr. plus 4 fr. de TVA (art. 2 et 3 RAJ [Règlement sur l'assistance judiciaire en matière civile ; RSV 211.02.3]). e)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