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692 vom 30. Juli 2014</w:t>
      </w:r>
    </w:p>
    <w:p>
      <w:r>
        <w:t>VD Tribunal cantonal, 2014-07-30, FR</w:t>
      </w:r>
    </w:p>
    <w:p>
      <w:r>
        <w:rPr>
          <w:b/>
        </w:rPr>
        <w:t xml:space="preserve">Quelle: </w:t>
      </w:r>
      <w:r>
        <w:t>https://mcp.opencaselaw.ch/entscheid/vd_findinfo_HC___2014___692</w:t>
      </w:r>
    </w:p>
    <w:p>
      <w:r>
        <w:t>FR: VD_FINDINFO HC / 2014 / 692 du 30 juillet 2014</w:t>
      </w:r>
    </w:p>
    <w:p>
      <w:r>
        <w:t>IT: VD_FINDINFO HC / 2014 / 692 del 30 luglio 2014</w:t>
      </w:r>
    </w:p>
    <w:p>
      <w:pPr>
        <w:pStyle w:val="Heading2"/>
      </w:pPr>
      <w:r>
        <w:t>Regeste</w:t>
      </w:r>
    </w:p>
    <w:p>
      <w:r>
        <w:t>OBLIGATION D'ENTRETIEN, CONJOINT, MODIFICATION DES CIRCONSTANCES | 179 CC, 276 al. 2 CPC (CH)</w:t>
      </w:r>
    </w:p>
    <w:p>
      <w:pPr>
        <w:pStyle w:val="Heading2"/>
      </w:pPr>
      <w:r>
        <w:t>Erwägungen</w:t>
      </w:r>
    </w:p>
    <w:p>
      <w:r>
        <w:rPr>
          <w:b/>
        </w:rPr>
        <w:t>E. 1</w:t>
      </w:r>
    </w:p>
    <w:p>
      <w:r>
        <w:t>a) L'appel est recevable contre les ordonnances de mesures provisionnelles (art. 308 al. 1 let. b CPC [Code de procédure civile du 19 décembre 2008 ;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b) En l’espèce, formé en temps utile par une partie qui y a intérêt et portant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 [loi du 12 décembre 1979 d’organisation judiciaire ; RS 173.01]).</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w:t>
      </w:r>
    </w:p>
    <w:p>
      <w:r>
        <w:rPr>
          <w:b/>
        </w:rPr>
        <w:t>E. 3</w:t>
      </w:r>
    </w:p>
    <w:p>
      <w:r>
        <w:t>a) L’appelant ne conteste pas l’état de fait tel qu’établi par le premier juge (cf. appel, p. 2-3). Il soutient toutefois que sa requête tendant à ramener à 2'000 fr. par mois, dès le 1 er novembre 2013, la contribution d’entretien qui avait été fixée par convention du</w:t>
      </w:r>
    </w:p>
    <w:p>
      <w:r>
        <w:rPr>
          <w:b/>
        </w:rPr>
        <w:t>E. 4</w:t>
      </w:r>
    </w:p>
    <w:p>
      <w:r>
        <w:t>août 2014 Le dispositif de l'arrêt qui précède est communiqué par écrit aux intéressés. Le greffier : Du L'arrêt qui précède, dont la rédaction a été approuvée à huis clos, est notifié en expédition complète, par l'envoi de photocopies, à : ‑ Me Laurent Gilliard (pour A.W.________), ‑ Me Manuela Ryter Godel (pour B.W.________).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